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013189" w:rsidRDefault="00013189" w:rsidP="00013189">
      <w:pPr>
        <w:pStyle w:val="Title"/>
        <w:spacing w:line="360" w:lineRule="auto"/>
      </w:pPr>
      <w:bookmarkStart w:id="0" w:name="_Hlk118612895"/>
      <w:bookmarkEnd w:id="0"/>
      <w:r w:rsidRPr="007702DD">
        <w:t>A</w:t>
      </w:r>
      <w:r>
        <w:t xml:space="preserve"> century in the </w:t>
      </w:r>
      <w:r w:rsidR="00B5214A">
        <w:t>making</w:t>
      </w:r>
      <w:r w:rsidRPr="007702DD">
        <w:t xml:space="preserve">: </w:t>
      </w:r>
      <w:r w:rsidR="00417A4E">
        <w:t xml:space="preserve">The </w:t>
      </w:r>
      <w:r w:rsidRPr="007702DD">
        <w:t xml:space="preserve">journey </w:t>
      </w:r>
      <w:r w:rsidR="00417A4E">
        <w:t>of protected area</w:t>
      </w:r>
      <w:r w:rsidR="00417A4E" w:rsidRPr="007702DD">
        <w:t xml:space="preserve">s </w:t>
      </w:r>
      <w:r w:rsidRPr="007702DD">
        <w:t xml:space="preserve">from the cradle to </w:t>
      </w:r>
      <w:r w:rsidR="00417A4E">
        <w:t xml:space="preserve">becoming </w:t>
      </w:r>
      <w:r w:rsidR="00AF2710">
        <w:t>the candle</w:t>
      </w:r>
    </w:p>
    <w:p w:rsidR="00013189" w:rsidRDefault="00013189" w:rsidP="00013189">
      <w:pPr>
        <w:jc w:val="center"/>
        <w:rPr>
          <w:rFonts w:ascii="SimSun" w:hAnsi="SimSun"/>
          <w:vertAlign w:val="superscript"/>
        </w:rPr>
      </w:pPr>
      <w:r w:rsidRPr="009A32D2">
        <w:rPr>
          <w:rFonts w:ascii="SimSun" w:hAnsi="SimSun" w:hint="eastAsia"/>
        </w:rPr>
        <w:t>Olivier Clement GATWAZA</w:t>
      </w:r>
      <w:r w:rsidRPr="00977AA8">
        <w:rPr>
          <w:rFonts w:ascii="SimSun" w:hAnsi="SimSun"/>
          <w:sz w:val="24"/>
          <w:szCs w:val="24"/>
          <w:vertAlign w:val="superscript"/>
        </w:rPr>
        <w:t>1,</w:t>
      </w:r>
      <w:r w:rsidRPr="00977AA8">
        <w:rPr>
          <w:rFonts w:ascii="SimSun" w:hAnsi="SimSun" w:hint="eastAsia"/>
          <w:sz w:val="24"/>
          <w:szCs w:val="24"/>
          <w:vertAlign w:val="superscript"/>
        </w:rPr>
        <w:t xml:space="preserve"> </w:t>
      </w:r>
      <w:bookmarkStart w:id="1" w:name="_Hlk119686948"/>
      <w:r w:rsidRPr="00977AA8">
        <w:rPr>
          <w:rFonts w:ascii="SimSun" w:hAnsi="SimSun" w:hint="eastAsia"/>
          <w:sz w:val="24"/>
          <w:szCs w:val="24"/>
          <w:vertAlign w:val="superscript"/>
        </w:rPr>
        <w:t>*</w:t>
      </w:r>
      <w:bookmarkEnd w:id="1"/>
      <w:r w:rsidRPr="009A32D2">
        <w:rPr>
          <w:rFonts w:ascii="SimSun" w:hAnsi="SimSun" w:hint="eastAsia"/>
        </w:rPr>
        <w:t>,</w:t>
      </w:r>
      <w:r>
        <w:rPr>
          <w:rFonts w:ascii="SimSun" w:hAnsi="SimSun"/>
        </w:rPr>
        <w:t xml:space="preserve"> </w:t>
      </w:r>
      <w:proofErr w:type="spellStart"/>
      <w:r>
        <w:rPr>
          <w:rFonts w:ascii="SimSun" w:hAnsi="SimSun"/>
        </w:rPr>
        <w:t>Xiangrong</w:t>
      </w:r>
      <w:proofErr w:type="spellEnd"/>
      <w:r>
        <w:rPr>
          <w:rFonts w:ascii="SimSun" w:hAnsi="SimSun"/>
        </w:rPr>
        <w:t xml:space="preserve"> WANG</w:t>
      </w:r>
      <w:r w:rsidRPr="00977AA8">
        <w:rPr>
          <w:rFonts w:ascii="SimSun" w:hAnsi="SimSun"/>
          <w:sz w:val="24"/>
          <w:szCs w:val="24"/>
          <w:vertAlign w:val="superscript"/>
        </w:rPr>
        <w:t>1</w:t>
      </w:r>
      <w:r>
        <w:rPr>
          <w:rFonts w:ascii="SimSun" w:hAnsi="SimSun"/>
        </w:rPr>
        <w:t>,</w:t>
      </w:r>
      <w:r w:rsidRPr="009A32D2">
        <w:rPr>
          <w:rFonts w:ascii="SimSun" w:hAnsi="SimSun" w:hint="eastAsia"/>
        </w:rPr>
        <w:t xml:space="preserve"> Xin CAO</w:t>
      </w:r>
      <w:r w:rsidRPr="00977AA8">
        <w:rPr>
          <w:rFonts w:ascii="SimSun" w:hAnsi="SimSun"/>
          <w:sz w:val="24"/>
          <w:szCs w:val="24"/>
          <w:vertAlign w:val="superscript"/>
        </w:rPr>
        <w:t>1</w:t>
      </w:r>
    </w:p>
    <w:p w:rsidR="00013189" w:rsidRPr="00C25918" w:rsidRDefault="00013189" w:rsidP="00013189">
      <w:r w:rsidRPr="00977AA8">
        <w:rPr>
          <w:rFonts w:ascii="Times New Roman" w:hAnsi="Times New Roman" w:cs="Times New Roman"/>
          <w:sz w:val="24"/>
          <w:szCs w:val="24"/>
          <w:vertAlign w:val="superscript"/>
        </w:rPr>
        <w:t>1</w:t>
      </w:r>
      <w:r>
        <w:t xml:space="preserve"> </w:t>
      </w:r>
      <w:r w:rsidRPr="00D95124">
        <w:rPr>
          <w:rFonts w:ascii="SimSun" w:eastAsia="SimSun" w:hAnsi="SimSun"/>
          <w:szCs w:val="32"/>
        </w:rPr>
        <w:t xml:space="preserve">School of Landscape Architecture, Beijing Forestry University, 35 </w:t>
      </w:r>
      <w:proofErr w:type="spellStart"/>
      <w:r w:rsidRPr="00D95124">
        <w:rPr>
          <w:rFonts w:ascii="SimSun" w:eastAsia="SimSun" w:hAnsi="SimSun"/>
          <w:szCs w:val="32"/>
        </w:rPr>
        <w:t>Qinghua</w:t>
      </w:r>
      <w:proofErr w:type="spellEnd"/>
      <w:r w:rsidRPr="00D95124">
        <w:rPr>
          <w:rFonts w:ascii="SimSun" w:eastAsia="SimSun" w:hAnsi="SimSun"/>
          <w:szCs w:val="32"/>
        </w:rPr>
        <w:t xml:space="preserve"> Dong Lu, </w:t>
      </w:r>
      <w:proofErr w:type="spellStart"/>
      <w:r w:rsidRPr="00D95124">
        <w:rPr>
          <w:rFonts w:ascii="SimSun" w:eastAsia="SimSun" w:hAnsi="SimSun"/>
          <w:szCs w:val="32"/>
        </w:rPr>
        <w:t>Haidian</w:t>
      </w:r>
      <w:proofErr w:type="spellEnd"/>
      <w:r w:rsidRPr="00D95124">
        <w:rPr>
          <w:rFonts w:ascii="SimSun" w:eastAsia="SimSun" w:hAnsi="SimSun"/>
          <w:szCs w:val="32"/>
        </w:rPr>
        <w:t xml:space="preserve"> District Beijing, 100083 China</w:t>
      </w:r>
    </w:p>
    <w:p w:rsidR="00013189" w:rsidRDefault="00013189" w:rsidP="00013189">
      <w:pPr>
        <w:rPr>
          <w:rFonts w:ascii="SimSun" w:eastAsia="SimSun" w:hAnsi="SimSun"/>
          <w:szCs w:val="32"/>
        </w:rPr>
      </w:pPr>
      <w:r w:rsidRPr="00631C90">
        <w:rPr>
          <w:rFonts w:ascii="SimSun" w:eastAsia="SimSun" w:hAnsi="SimSun"/>
          <w:bCs/>
          <w:sz w:val="24"/>
          <w:szCs w:val="24"/>
          <w:vertAlign w:val="superscript"/>
        </w:rPr>
        <w:t>*</w:t>
      </w:r>
      <w:r w:rsidRPr="00631C90">
        <w:rPr>
          <w:rFonts w:ascii="SimSun" w:eastAsia="SimSun" w:hAnsi="SimSun"/>
          <w:bCs/>
          <w:szCs w:val="32"/>
        </w:rPr>
        <w:t xml:space="preserve"> Corresponding author: Email: </w:t>
      </w:r>
      <w:hyperlink r:id="rId8" w:history="1">
        <w:r w:rsidRPr="00D95124">
          <w:rPr>
            <w:rStyle w:val="Hyperlink"/>
            <w:rFonts w:ascii="SimSun" w:hAnsi="SimSun"/>
            <w:szCs w:val="32"/>
          </w:rPr>
          <w:t>colgat4@yahoo.com</w:t>
        </w:r>
      </w:hyperlink>
      <w:r w:rsidRPr="00D95124">
        <w:rPr>
          <w:rFonts w:ascii="SimSun" w:eastAsia="SimSun" w:hAnsi="SimSun"/>
          <w:szCs w:val="32"/>
        </w:rPr>
        <w:t xml:space="preserve"> </w:t>
      </w:r>
    </w:p>
    <w:p w:rsidR="00013189" w:rsidRPr="00D95124" w:rsidRDefault="00013189" w:rsidP="00013189">
      <w:pPr>
        <w:rPr>
          <w:rFonts w:ascii="SimSun" w:eastAsia="SimSun" w:hAnsi="SimSun"/>
          <w:b/>
          <w:szCs w:val="32"/>
        </w:rPr>
      </w:pPr>
    </w:p>
    <w:p w:rsidR="00013189" w:rsidRDefault="00013189" w:rsidP="00013189">
      <w:pPr>
        <w:pStyle w:val="Heading1"/>
        <w:numPr>
          <w:ilvl w:val="0"/>
          <w:numId w:val="0"/>
        </w:numPr>
        <w:spacing w:line="360" w:lineRule="auto"/>
        <w:ind w:left="432" w:hanging="432"/>
      </w:pPr>
      <w:r w:rsidRPr="00553D8B">
        <w:t>Abstract</w:t>
      </w:r>
    </w:p>
    <w:p w:rsidR="00BF0C08" w:rsidRDefault="00BF0C08" w:rsidP="00B7385A">
      <w:pPr>
        <w:spacing w:line="240" w:lineRule="auto"/>
        <w:jc w:val="both"/>
        <w:rPr>
          <w:rFonts w:ascii="Times New Roman" w:hAnsi="Times New Roman" w:cs="Times New Roman"/>
          <w:sz w:val="24"/>
          <w:szCs w:val="24"/>
        </w:rPr>
      </w:pPr>
      <w:r w:rsidRPr="005C72A4">
        <w:rPr>
          <w:rFonts w:ascii="Times New Roman" w:hAnsi="Times New Roman" w:cs="Times New Roman"/>
          <w:sz w:val="24"/>
          <w:szCs w:val="24"/>
        </w:rPr>
        <w:t xml:space="preserve">Exactly 150 years have </w:t>
      </w:r>
      <w:r w:rsidR="00B7385A" w:rsidRPr="005C72A4">
        <w:rPr>
          <w:rFonts w:ascii="Times New Roman" w:hAnsi="Times New Roman" w:cs="Times New Roman"/>
          <w:sz w:val="24"/>
          <w:szCs w:val="24"/>
        </w:rPr>
        <w:t>elapsed</w:t>
      </w:r>
      <w:r w:rsidRPr="005C72A4">
        <w:rPr>
          <w:rFonts w:ascii="Times New Roman" w:hAnsi="Times New Roman" w:cs="Times New Roman"/>
          <w:sz w:val="24"/>
          <w:szCs w:val="24"/>
        </w:rPr>
        <w:t xml:space="preserve"> since the establishment of Yellowstone National Park in the USA, the first of its kind globally. </w:t>
      </w:r>
      <w:r w:rsidR="00DD51FC" w:rsidRPr="005C72A4">
        <w:rPr>
          <w:rFonts w:ascii="Times New Roman" w:hAnsi="Times New Roman" w:cs="Times New Roman"/>
          <w:sz w:val="24"/>
          <w:szCs w:val="24"/>
        </w:rPr>
        <w:t>Few Americans could have anticipated</w:t>
      </w:r>
      <w:r w:rsidR="006C6EE0" w:rsidRPr="005C72A4">
        <w:rPr>
          <w:rFonts w:ascii="Times New Roman" w:hAnsi="Times New Roman" w:cs="Times New Roman"/>
          <w:sz w:val="24"/>
          <w:szCs w:val="24"/>
        </w:rPr>
        <w:t xml:space="preserve"> that this idea</w:t>
      </w:r>
      <w:r w:rsidRPr="005C72A4">
        <w:rPr>
          <w:rFonts w:ascii="Times New Roman" w:hAnsi="Times New Roman" w:cs="Times New Roman"/>
          <w:sz w:val="24"/>
          <w:szCs w:val="24"/>
        </w:rPr>
        <w:t xml:space="preserve">, would once and for all spark a revolutionary shift in humanity's relationship with nature and wildlife worldwide. </w:t>
      </w:r>
      <w:r w:rsidR="00200E55" w:rsidRPr="005C72A4">
        <w:rPr>
          <w:rFonts w:ascii="Times New Roman" w:hAnsi="Times New Roman" w:cs="Times New Roman"/>
          <w:sz w:val="24"/>
          <w:szCs w:val="24"/>
        </w:rPr>
        <w:t xml:space="preserve">Currently, </w:t>
      </w:r>
      <w:r w:rsidRPr="005C72A4">
        <w:rPr>
          <w:rFonts w:ascii="Times New Roman" w:hAnsi="Times New Roman" w:cs="Times New Roman"/>
          <w:sz w:val="24"/>
          <w:szCs w:val="24"/>
        </w:rPr>
        <w:t xml:space="preserve">Protected Areas (PAs) are widely recognized as the best available means to ensure the survival and recovery of native and threatened animals and plant species. If success in conservation was </w:t>
      </w:r>
      <w:r w:rsidR="004F6CD2" w:rsidRPr="005C72A4">
        <w:rPr>
          <w:rFonts w:ascii="Times New Roman" w:hAnsi="Times New Roman" w:cs="Times New Roman"/>
          <w:sz w:val="24"/>
          <w:szCs w:val="24"/>
        </w:rPr>
        <w:t>solely based on the number or size of PAs, conservationists would have ample reason for celebration</w:t>
      </w:r>
      <w:r w:rsidRPr="005C72A4">
        <w:rPr>
          <w:rFonts w:ascii="Times New Roman" w:hAnsi="Times New Roman" w:cs="Times New Roman"/>
          <w:sz w:val="24"/>
          <w:szCs w:val="24"/>
        </w:rPr>
        <w:t xml:space="preserve">. </w:t>
      </w:r>
      <w:r w:rsidR="00981DA7" w:rsidRPr="005C72A4">
        <w:rPr>
          <w:rFonts w:ascii="Times New Roman" w:hAnsi="Times New Roman" w:cs="Times New Roman"/>
          <w:sz w:val="24"/>
          <w:szCs w:val="24"/>
        </w:rPr>
        <w:t>However, t</w:t>
      </w:r>
      <w:r w:rsidR="004361D9" w:rsidRPr="005C72A4">
        <w:rPr>
          <w:rFonts w:ascii="Times New Roman" w:hAnsi="Times New Roman" w:cs="Times New Roman"/>
          <w:sz w:val="24"/>
          <w:szCs w:val="24"/>
        </w:rPr>
        <w:t xml:space="preserve">he </w:t>
      </w:r>
      <w:r w:rsidR="003E3353" w:rsidRPr="005C72A4">
        <w:rPr>
          <w:rFonts w:ascii="Times New Roman" w:hAnsi="Times New Roman" w:cs="Times New Roman"/>
          <w:sz w:val="24"/>
          <w:szCs w:val="24"/>
        </w:rPr>
        <w:t xml:space="preserve">mainstreaming and </w:t>
      </w:r>
      <w:r w:rsidR="004361D9" w:rsidRPr="005C72A4">
        <w:rPr>
          <w:rFonts w:ascii="Times New Roman" w:hAnsi="Times New Roman" w:cs="Times New Roman"/>
          <w:sz w:val="24"/>
          <w:szCs w:val="24"/>
        </w:rPr>
        <w:t>adaptation of the PAs concept to various countries and regions</w:t>
      </w:r>
      <w:r w:rsidR="006C6EE0" w:rsidRPr="005C72A4">
        <w:rPr>
          <w:rFonts w:ascii="Times New Roman" w:hAnsi="Times New Roman" w:cs="Times New Roman"/>
          <w:sz w:val="24"/>
          <w:szCs w:val="24"/>
        </w:rPr>
        <w:t>, each having its</w:t>
      </w:r>
      <w:r w:rsidR="004361D9" w:rsidRPr="005C72A4">
        <w:rPr>
          <w:rFonts w:ascii="Times New Roman" w:hAnsi="Times New Roman" w:cs="Times New Roman"/>
          <w:sz w:val="24"/>
          <w:szCs w:val="24"/>
        </w:rPr>
        <w:t xml:space="preserve"> socio-economic, cultural, and ecological realities </w:t>
      </w:r>
      <w:r w:rsidR="006C6EE0" w:rsidRPr="005C72A4">
        <w:rPr>
          <w:rFonts w:ascii="Times New Roman" w:hAnsi="Times New Roman" w:cs="Times New Roman"/>
          <w:sz w:val="24"/>
          <w:szCs w:val="24"/>
        </w:rPr>
        <w:t xml:space="preserve">have </w:t>
      </w:r>
      <w:r w:rsidR="00913F7E" w:rsidRPr="005C72A4">
        <w:rPr>
          <w:rFonts w:ascii="Times New Roman" w:hAnsi="Times New Roman" w:cs="Times New Roman"/>
          <w:sz w:val="24"/>
          <w:szCs w:val="24"/>
        </w:rPr>
        <w:t>become room for</w:t>
      </w:r>
      <w:r w:rsidR="006C6EE0" w:rsidRPr="005C72A4">
        <w:rPr>
          <w:rFonts w:ascii="Times New Roman" w:hAnsi="Times New Roman" w:cs="Times New Roman"/>
          <w:sz w:val="24"/>
          <w:szCs w:val="24"/>
        </w:rPr>
        <w:t xml:space="preserve"> both innovations and challenges in </w:t>
      </w:r>
      <w:r w:rsidR="00C33C3A" w:rsidRPr="005C72A4">
        <w:rPr>
          <w:rFonts w:ascii="Times New Roman" w:hAnsi="Times New Roman" w:cs="Times New Roman"/>
          <w:sz w:val="24"/>
          <w:szCs w:val="24"/>
        </w:rPr>
        <w:t>the conservation sector</w:t>
      </w:r>
      <w:r w:rsidR="006C6EE0" w:rsidRPr="005C72A4">
        <w:rPr>
          <w:rFonts w:ascii="Times New Roman" w:hAnsi="Times New Roman" w:cs="Times New Roman"/>
          <w:sz w:val="24"/>
          <w:szCs w:val="24"/>
        </w:rPr>
        <w:t>.</w:t>
      </w:r>
      <w:r w:rsidR="00F71E22" w:rsidRPr="005C72A4">
        <w:rPr>
          <w:rFonts w:ascii="Times New Roman" w:hAnsi="Times New Roman" w:cs="Times New Roman"/>
          <w:sz w:val="24"/>
          <w:szCs w:val="24"/>
        </w:rPr>
        <w:t xml:space="preserve"> </w:t>
      </w:r>
      <w:r w:rsidRPr="005C72A4">
        <w:rPr>
          <w:rFonts w:ascii="Times New Roman" w:hAnsi="Times New Roman" w:cs="Times New Roman"/>
          <w:sz w:val="24"/>
          <w:szCs w:val="24"/>
        </w:rPr>
        <w:t xml:space="preserve">Almost a full century since the establishment of the first NP on the African continent in 1925, this paper </w:t>
      </w:r>
      <w:r w:rsidR="005C4A35" w:rsidRPr="005C72A4">
        <w:rPr>
          <w:rFonts w:ascii="Times New Roman" w:hAnsi="Times New Roman" w:cs="Times New Roman"/>
          <w:sz w:val="24"/>
          <w:szCs w:val="24"/>
        </w:rPr>
        <w:t>anticipatedly</w:t>
      </w:r>
      <w:r w:rsidR="00103624" w:rsidRPr="005C72A4">
        <w:rPr>
          <w:rFonts w:ascii="Times New Roman" w:hAnsi="Times New Roman" w:cs="Times New Roman"/>
          <w:sz w:val="24"/>
          <w:szCs w:val="24"/>
        </w:rPr>
        <w:t xml:space="preserve"> examines the PAs systems of the</w:t>
      </w:r>
      <w:r w:rsidRPr="005C72A4">
        <w:rPr>
          <w:rFonts w:ascii="Times New Roman" w:hAnsi="Times New Roman" w:cs="Times New Roman"/>
          <w:sz w:val="24"/>
          <w:szCs w:val="24"/>
        </w:rPr>
        <w:t xml:space="preserve"> first three countries to </w:t>
      </w:r>
      <w:r w:rsidR="00103624" w:rsidRPr="005C72A4">
        <w:rPr>
          <w:rFonts w:ascii="Times New Roman" w:hAnsi="Times New Roman" w:cs="Times New Roman"/>
          <w:sz w:val="24"/>
          <w:szCs w:val="24"/>
        </w:rPr>
        <w:t>embrace</w:t>
      </w:r>
      <w:r w:rsidRPr="005C72A4">
        <w:rPr>
          <w:rFonts w:ascii="Times New Roman" w:hAnsi="Times New Roman" w:cs="Times New Roman"/>
          <w:sz w:val="24"/>
          <w:szCs w:val="24"/>
        </w:rPr>
        <w:t xml:space="preserve"> the NPs movement on the continent</w:t>
      </w:r>
      <w:r w:rsidR="00103624" w:rsidRPr="005C72A4">
        <w:rPr>
          <w:rFonts w:ascii="Times New Roman" w:hAnsi="Times New Roman" w:cs="Times New Roman"/>
          <w:sz w:val="24"/>
          <w:szCs w:val="24"/>
        </w:rPr>
        <w:t>:</w:t>
      </w:r>
      <w:r w:rsidRPr="005C72A4">
        <w:rPr>
          <w:rFonts w:ascii="Times New Roman" w:hAnsi="Times New Roman" w:cs="Times New Roman"/>
          <w:sz w:val="24"/>
          <w:szCs w:val="24"/>
        </w:rPr>
        <w:t xml:space="preserve"> </w:t>
      </w:r>
      <w:r w:rsidR="00103624" w:rsidRPr="005C72A4">
        <w:rPr>
          <w:rFonts w:ascii="Times New Roman" w:hAnsi="Times New Roman" w:cs="Times New Roman"/>
          <w:sz w:val="24"/>
          <w:szCs w:val="24"/>
        </w:rPr>
        <w:t xml:space="preserve">the Democratic Republic of Congo (DRC), Rwanda, and Uganda. </w:t>
      </w:r>
      <w:r w:rsidR="005C72A4">
        <w:rPr>
          <w:rFonts w:ascii="Times New Roman" w:hAnsi="Times New Roman" w:cs="Times New Roman"/>
          <w:sz w:val="24"/>
          <w:szCs w:val="24"/>
        </w:rPr>
        <w:t>We have used</w:t>
      </w:r>
      <w:r w:rsidR="00103624" w:rsidRPr="005C72A4">
        <w:rPr>
          <w:rFonts w:ascii="Times New Roman" w:hAnsi="Times New Roman" w:cs="Times New Roman"/>
          <w:sz w:val="24"/>
          <w:szCs w:val="24"/>
        </w:rPr>
        <w:t xml:space="preserve"> </w:t>
      </w:r>
      <w:r w:rsidR="005C72A4" w:rsidRPr="005C72A4">
        <w:rPr>
          <w:rFonts w:ascii="Times New Roman" w:hAnsi="Times New Roman" w:cs="Times New Roman"/>
          <w:sz w:val="24"/>
          <w:szCs w:val="24"/>
        </w:rPr>
        <w:t>a probabilistic</w:t>
      </w:r>
      <w:r w:rsidR="005C72A4">
        <w:rPr>
          <w:rFonts w:ascii="Times New Roman" w:hAnsi="Times New Roman" w:cs="Times New Roman"/>
          <w:sz w:val="24"/>
          <w:szCs w:val="24"/>
        </w:rPr>
        <w:t xml:space="preserve"> index method to</w:t>
      </w:r>
      <w:r w:rsidR="005C72A4" w:rsidRPr="005C72A4">
        <w:rPr>
          <w:rFonts w:ascii="Times New Roman" w:hAnsi="Times New Roman" w:cs="Times New Roman"/>
          <w:sz w:val="24"/>
          <w:szCs w:val="24"/>
        </w:rPr>
        <w:t xml:space="preserve"> </w:t>
      </w:r>
      <w:r w:rsidR="00103624" w:rsidRPr="005C72A4">
        <w:rPr>
          <w:rFonts w:ascii="Times New Roman" w:hAnsi="Times New Roman" w:cs="Times New Roman"/>
          <w:sz w:val="24"/>
          <w:szCs w:val="24"/>
        </w:rPr>
        <w:t>comparativ</w:t>
      </w:r>
      <w:r w:rsidR="005C72A4">
        <w:rPr>
          <w:rFonts w:ascii="Times New Roman" w:hAnsi="Times New Roman" w:cs="Times New Roman"/>
          <w:sz w:val="24"/>
          <w:szCs w:val="24"/>
        </w:rPr>
        <w:t>ely</w:t>
      </w:r>
      <w:r w:rsidR="00103624" w:rsidRPr="005C72A4">
        <w:rPr>
          <w:rFonts w:ascii="Times New Roman" w:hAnsi="Times New Roman" w:cs="Times New Roman"/>
          <w:sz w:val="24"/>
          <w:szCs w:val="24"/>
        </w:rPr>
        <w:t xml:space="preserve"> analys</w:t>
      </w:r>
      <w:r w:rsidR="005C72A4">
        <w:rPr>
          <w:rFonts w:ascii="Times New Roman" w:hAnsi="Times New Roman" w:cs="Times New Roman"/>
          <w:sz w:val="24"/>
          <w:szCs w:val="24"/>
        </w:rPr>
        <w:t>e</w:t>
      </w:r>
      <w:r w:rsidR="00103624" w:rsidRPr="005C72A4">
        <w:rPr>
          <w:rFonts w:ascii="Times New Roman" w:hAnsi="Times New Roman" w:cs="Times New Roman"/>
          <w:sz w:val="24"/>
          <w:szCs w:val="24"/>
        </w:rPr>
        <w:t xml:space="preserve"> quantitative and qualitative data, assess</w:t>
      </w:r>
      <w:r w:rsidR="00DD51FC" w:rsidRPr="005C72A4">
        <w:rPr>
          <w:rFonts w:ascii="Times New Roman" w:hAnsi="Times New Roman" w:cs="Times New Roman"/>
          <w:sz w:val="24"/>
          <w:szCs w:val="24"/>
        </w:rPr>
        <w:t xml:space="preserve"> </w:t>
      </w:r>
      <w:r w:rsidRPr="005C72A4">
        <w:rPr>
          <w:rFonts w:ascii="Times New Roman" w:hAnsi="Times New Roman" w:cs="Times New Roman"/>
          <w:sz w:val="24"/>
          <w:szCs w:val="24"/>
        </w:rPr>
        <w:t>the key indicators of the conservation policy, institution</w:t>
      </w:r>
      <w:r w:rsidR="00103624" w:rsidRPr="005C72A4">
        <w:rPr>
          <w:rFonts w:ascii="Times New Roman" w:hAnsi="Times New Roman" w:cs="Times New Roman"/>
          <w:sz w:val="24"/>
          <w:szCs w:val="24"/>
        </w:rPr>
        <w:t>s</w:t>
      </w:r>
      <w:r w:rsidRPr="005C72A4">
        <w:rPr>
          <w:rFonts w:ascii="Times New Roman" w:hAnsi="Times New Roman" w:cs="Times New Roman"/>
          <w:sz w:val="24"/>
          <w:szCs w:val="24"/>
        </w:rPr>
        <w:t xml:space="preserve">, and PAs network </w:t>
      </w:r>
      <w:r w:rsidR="00103624" w:rsidRPr="005C72A4">
        <w:rPr>
          <w:rFonts w:ascii="Times New Roman" w:hAnsi="Times New Roman" w:cs="Times New Roman"/>
          <w:sz w:val="24"/>
          <w:szCs w:val="24"/>
        </w:rPr>
        <w:t>in these countries alongside the</w:t>
      </w:r>
      <w:r w:rsidRPr="005C72A4">
        <w:rPr>
          <w:rFonts w:ascii="Times New Roman" w:hAnsi="Times New Roman" w:cs="Times New Roman"/>
          <w:sz w:val="24"/>
          <w:szCs w:val="24"/>
        </w:rPr>
        <w:t xml:space="preserve"> USA</w:t>
      </w:r>
      <w:r w:rsidR="00103624" w:rsidRPr="005C72A4">
        <w:rPr>
          <w:rFonts w:ascii="Times New Roman" w:hAnsi="Times New Roman" w:cs="Times New Roman"/>
          <w:sz w:val="24"/>
          <w:szCs w:val="24"/>
        </w:rPr>
        <w:t>. This approach enables us to discern</w:t>
      </w:r>
      <w:r w:rsidR="00CB7796" w:rsidRPr="005C72A4">
        <w:rPr>
          <w:rFonts w:ascii="Times New Roman" w:hAnsi="Times New Roman" w:cs="Times New Roman"/>
          <w:sz w:val="24"/>
          <w:szCs w:val="24"/>
        </w:rPr>
        <w:t xml:space="preserve"> divergent trajectories, detect potential shortcomings, identify vulnerabilities, contextualise these findings, and draw recommendations for future development.</w:t>
      </w:r>
      <w:r w:rsidRPr="005C72A4">
        <w:rPr>
          <w:rFonts w:ascii="Times New Roman" w:hAnsi="Times New Roman" w:cs="Times New Roman"/>
          <w:sz w:val="24"/>
          <w:szCs w:val="24"/>
        </w:rPr>
        <w:t xml:space="preserve"> </w:t>
      </w:r>
      <w:r w:rsidR="00A03E24" w:rsidRPr="005C72A4">
        <w:rPr>
          <w:rFonts w:ascii="Times New Roman" w:hAnsi="Times New Roman" w:cs="Times New Roman"/>
          <w:sz w:val="24"/>
          <w:szCs w:val="24"/>
        </w:rPr>
        <w:t xml:space="preserve">In contrast to the rather longstanding, stable, and relatively well-established U.S. PAs system, </w:t>
      </w:r>
      <w:r w:rsidR="00215F87">
        <w:rPr>
          <w:rFonts w:ascii="Times New Roman" w:hAnsi="Times New Roman" w:cs="Times New Roman"/>
          <w:sz w:val="24"/>
          <w:szCs w:val="24"/>
        </w:rPr>
        <w:t>this</w:t>
      </w:r>
      <w:r w:rsidR="00CB7796" w:rsidRPr="005C72A4">
        <w:rPr>
          <w:rFonts w:ascii="Times New Roman" w:hAnsi="Times New Roman" w:cs="Times New Roman"/>
          <w:sz w:val="24"/>
          <w:szCs w:val="24"/>
        </w:rPr>
        <w:t xml:space="preserve"> research </w:t>
      </w:r>
      <w:r w:rsidR="00F17E02" w:rsidRPr="005C72A4">
        <w:rPr>
          <w:rFonts w:ascii="Times New Roman" w:hAnsi="Times New Roman" w:cs="Times New Roman"/>
          <w:sz w:val="24"/>
          <w:szCs w:val="24"/>
        </w:rPr>
        <w:t xml:space="preserve">reveals </w:t>
      </w:r>
      <w:r w:rsidR="00CB63DD" w:rsidRPr="005C72A4">
        <w:rPr>
          <w:rFonts w:ascii="Times New Roman" w:hAnsi="Times New Roman" w:cs="Times New Roman"/>
          <w:sz w:val="24"/>
          <w:szCs w:val="24"/>
        </w:rPr>
        <w:t>frequent policy instrument</w:t>
      </w:r>
      <w:r w:rsidR="00A134F9">
        <w:rPr>
          <w:rFonts w:ascii="Times New Roman" w:hAnsi="Times New Roman" w:cs="Times New Roman"/>
          <w:sz w:val="24"/>
          <w:szCs w:val="24"/>
        </w:rPr>
        <w:t>s</w:t>
      </w:r>
      <w:r w:rsidR="00A03E24" w:rsidRPr="005C72A4">
        <w:rPr>
          <w:rFonts w:ascii="Times New Roman" w:hAnsi="Times New Roman" w:cs="Times New Roman"/>
          <w:sz w:val="24"/>
          <w:szCs w:val="24"/>
        </w:rPr>
        <w:t xml:space="preserve"> </w:t>
      </w:r>
      <w:r w:rsidR="00A134F9" w:rsidRPr="005C72A4">
        <w:rPr>
          <w:rFonts w:ascii="Times New Roman" w:hAnsi="Times New Roman" w:cs="Times New Roman"/>
          <w:sz w:val="24"/>
          <w:szCs w:val="24"/>
        </w:rPr>
        <w:t>amendment</w:t>
      </w:r>
      <w:r w:rsidR="00A134F9">
        <w:rPr>
          <w:rFonts w:ascii="Times New Roman" w:hAnsi="Times New Roman" w:cs="Times New Roman"/>
          <w:sz w:val="24"/>
          <w:szCs w:val="24"/>
        </w:rPr>
        <w:t>s and managing institutions reshuffle</w:t>
      </w:r>
      <w:r w:rsidR="00A134F9" w:rsidRPr="005C72A4">
        <w:rPr>
          <w:rFonts w:ascii="Times New Roman" w:hAnsi="Times New Roman" w:cs="Times New Roman"/>
          <w:sz w:val="24"/>
          <w:szCs w:val="24"/>
        </w:rPr>
        <w:t>s</w:t>
      </w:r>
      <w:r w:rsidR="00CB63DD" w:rsidRPr="005C72A4">
        <w:rPr>
          <w:rFonts w:ascii="Times New Roman" w:hAnsi="Times New Roman" w:cs="Times New Roman"/>
          <w:sz w:val="24"/>
          <w:szCs w:val="24"/>
        </w:rPr>
        <w:t>,</w:t>
      </w:r>
      <w:r w:rsidR="00A134F9">
        <w:rPr>
          <w:rFonts w:ascii="Times New Roman" w:hAnsi="Times New Roman" w:cs="Times New Roman"/>
          <w:sz w:val="24"/>
          <w:szCs w:val="24"/>
        </w:rPr>
        <w:t xml:space="preserve"> numerous cases of overlapping goals, conflicting missions</w:t>
      </w:r>
      <w:r w:rsidR="00CB63DD" w:rsidRPr="005C72A4">
        <w:rPr>
          <w:rFonts w:ascii="Times New Roman" w:hAnsi="Times New Roman" w:cs="Times New Roman"/>
          <w:sz w:val="24"/>
          <w:szCs w:val="24"/>
        </w:rPr>
        <w:t xml:space="preserve">, </w:t>
      </w:r>
      <w:r w:rsidR="00A134F9">
        <w:rPr>
          <w:rFonts w:ascii="Times New Roman" w:hAnsi="Times New Roman" w:cs="Times New Roman"/>
          <w:sz w:val="24"/>
          <w:szCs w:val="24"/>
        </w:rPr>
        <w:t>a rather static</w:t>
      </w:r>
      <w:r w:rsidR="00CB63DD" w:rsidRPr="005C72A4">
        <w:rPr>
          <w:rFonts w:ascii="Times New Roman" w:hAnsi="Times New Roman" w:cs="Times New Roman"/>
          <w:sz w:val="24"/>
          <w:szCs w:val="24"/>
        </w:rPr>
        <w:t xml:space="preserve"> PAs </w:t>
      </w:r>
      <w:r w:rsidR="00A134F9">
        <w:rPr>
          <w:rFonts w:ascii="Times New Roman" w:hAnsi="Times New Roman" w:cs="Times New Roman"/>
          <w:sz w:val="24"/>
          <w:szCs w:val="24"/>
        </w:rPr>
        <w:t xml:space="preserve">typology, the </w:t>
      </w:r>
      <w:r w:rsidR="00A134F9" w:rsidRPr="00A134F9">
        <w:rPr>
          <w:rFonts w:ascii="Times New Roman" w:hAnsi="Times New Roman" w:cs="Times New Roman"/>
          <w:sz w:val="24"/>
          <w:szCs w:val="24"/>
        </w:rPr>
        <w:t>over-reliance on single</w:t>
      </w:r>
      <w:r w:rsidR="00CB63DD" w:rsidRPr="005C72A4">
        <w:rPr>
          <w:rFonts w:ascii="Times New Roman" w:hAnsi="Times New Roman" w:cs="Times New Roman"/>
          <w:sz w:val="24"/>
          <w:szCs w:val="24"/>
        </w:rPr>
        <w:t xml:space="preserve"> </w:t>
      </w:r>
      <w:r w:rsidR="00215F87" w:rsidRPr="00215F87">
        <w:rPr>
          <w:rFonts w:ascii="Times New Roman" w:hAnsi="Times New Roman" w:cs="Times New Roman"/>
          <w:sz w:val="24"/>
          <w:szCs w:val="24"/>
        </w:rPr>
        <w:t xml:space="preserve">species </w:t>
      </w:r>
      <w:r w:rsidR="00A03E24" w:rsidRPr="005C72A4">
        <w:rPr>
          <w:rFonts w:ascii="Times New Roman" w:hAnsi="Times New Roman" w:cs="Times New Roman"/>
          <w:sz w:val="24"/>
          <w:szCs w:val="24"/>
        </w:rPr>
        <w:t xml:space="preserve">exacerbated by </w:t>
      </w:r>
      <w:r w:rsidR="00CB7796" w:rsidRPr="005C72A4">
        <w:rPr>
          <w:rFonts w:ascii="Times New Roman" w:hAnsi="Times New Roman" w:cs="Times New Roman"/>
          <w:sz w:val="24"/>
          <w:szCs w:val="24"/>
        </w:rPr>
        <w:t xml:space="preserve">growing </w:t>
      </w:r>
      <w:r w:rsidR="00215F87">
        <w:rPr>
          <w:rFonts w:ascii="Times New Roman" w:hAnsi="Times New Roman" w:cs="Times New Roman"/>
          <w:sz w:val="24"/>
          <w:szCs w:val="24"/>
        </w:rPr>
        <w:t xml:space="preserve">focus </w:t>
      </w:r>
      <w:r w:rsidR="00CB7796" w:rsidRPr="005C72A4">
        <w:rPr>
          <w:rFonts w:ascii="Times New Roman" w:hAnsi="Times New Roman" w:cs="Times New Roman"/>
          <w:sz w:val="24"/>
          <w:szCs w:val="24"/>
        </w:rPr>
        <w:t xml:space="preserve">on revenue generation tendencies at the expense of the core conservation </w:t>
      </w:r>
      <w:r w:rsidR="00215F87">
        <w:rPr>
          <w:rFonts w:ascii="Times New Roman" w:hAnsi="Times New Roman" w:cs="Times New Roman"/>
          <w:sz w:val="24"/>
          <w:szCs w:val="24"/>
        </w:rPr>
        <w:t>mission</w:t>
      </w:r>
      <w:r w:rsidR="00CB7796" w:rsidRPr="005C72A4">
        <w:rPr>
          <w:rFonts w:ascii="Times New Roman" w:hAnsi="Times New Roman" w:cs="Times New Roman"/>
          <w:sz w:val="24"/>
          <w:szCs w:val="24"/>
        </w:rPr>
        <w:t xml:space="preserve"> in the DRC, Rwanda, and Uganda.</w:t>
      </w:r>
    </w:p>
    <w:p w:rsidR="00BF0C08" w:rsidRDefault="00BF0C08" w:rsidP="00BF0C08">
      <w:pPr>
        <w:spacing w:line="240" w:lineRule="auto"/>
        <w:rPr>
          <w:rFonts w:ascii="Times New Roman" w:hAnsi="Times New Roman" w:cs="Times New Roman"/>
          <w:sz w:val="24"/>
          <w:szCs w:val="24"/>
        </w:rPr>
      </w:pPr>
    </w:p>
    <w:p w:rsidR="00BF0C08" w:rsidRDefault="00BF0C08" w:rsidP="00BF0C08">
      <w:pPr>
        <w:spacing w:line="240" w:lineRule="auto"/>
        <w:rPr>
          <w:rFonts w:ascii="Times New Roman" w:hAnsi="Times New Roman" w:cs="Times New Roman"/>
          <w:sz w:val="24"/>
          <w:szCs w:val="24"/>
        </w:rPr>
      </w:pPr>
      <w:r w:rsidRPr="00DD1888">
        <w:rPr>
          <w:rFonts w:ascii="Times New Roman" w:hAnsi="Times New Roman" w:cs="Times New Roman"/>
          <w:b/>
          <w:bCs/>
          <w:sz w:val="24"/>
          <w:szCs w:val="24"/>
        </w:rPr>
        <w:t>Keywords</w:t>
      </w:r>
      <w:r>
        <w:rPr>
          <w:rFonts w:ascii="Times New Roman" w:hAnsi="Times New Roman" w:cs="Times New Roman"/>
          <w:b/>
          <w:bCs/>
          <w:sz w:val="24"/>
          <w:szCs w:val="24"/>
        </w:rPr>
        <w:t>:</w:t>
      </w:r>
      <w:r>
        <w:rPr>
          <w:rFonts w:ascii="Times New Roman" w:hAnsi="Times New Roman" w:cs="Times New Roman"/>
          <w:sz w:val="24"/>
          <w:szCs w:val="24"/>
        </w:rPr>
        <w:t xml:space="preserve"> National parks, Nature conservation, Cultural heritage preservation, Climate change, Environmental protection</w:t>
      </w:r>
    </w:p>
    <w:p w:rsidR="00BF0C08" w:rsidRDefault="00BF0C08" w:rsidP="00013189">
      <w:pPr>
        <w:spacing w:line="240" w:lineRule="auto"/>
        <w:jc w:val="both"/>
        <w:rPr>
          <w:rFonts w:ascii="Times New Roman" w:hAnsi="Times New Roman" w:cs="Times New Roman"/>
          <w:sz w:val="24"/>
          <w:szCs w:val="24"/>
        </w:rPr>
      </w:pPr>
    </w:p>
    <w:p w:rsidR="00F86C85" w:rsidRDefault="00F86C85" w:rsidP="00013189">
      <w:pPr>
        <w:spacing w:line="240" w:lineRule="auto"/>
        <w:jc w:val="both"/>
        <w:rPr>
          <w:rFonts w:ascii="Times New Roman" w:hAnsi="Times New Roman" w:cs="Times New Roman"/>
          <w:sz w:val="24"/>
          <w:szCs w:val="24"/>
        </w:rPr>
      </w:pPr>
    </w:p>
    <w:p w:rsidR="00F86C85" w:rsidRDefault="00F86C85" w:rsidP="00013189">
      <w:pPr>
        <w:spacing w:line="240" w:lineRule="auto"/>
        <w:jc w:val="both"/>
        <w:rPr>
          <w:rFonts w:ascii="Times New Roman" w:hAnsi="Times New Roman" w:cs="Times New Roman"/>
          <w:sz w:val="24"/>
          <w:szCs w:val="24"/>
        </w:rPr>
      </w:pPr>
    </w:p>
    <w:p w:rsidR="00F86C85" w:rsidRDefault="00F86C85" w:rsidP="00013189">
      <w:pPr>
        <w:spacing w:line="240" w:lineRule="auto"/>
        <w:jc w:val="both"/>
        <w:rPr>
          <w:rFonts w:ascii="Times New Roman" w:hAnsi="Times New Roman" w:cs="Times New Roman"/>
          <w:sz w:val="24"/>
          <w:szCs w:val="24"/>
        </w:rPr>
      </w:pPr>
    </w:p>
    <w:p w:rsidR="00F17E02" w:rsidRPr="00553D8B" w:rsidRDefault="00F17E02" w:rsidP="00F17E02">
      <w:pPr>
        <w:pStyle w:val="Heading1"/>
        <w:spacing w:line="360" w:lineRule="auto"/>
      </w:pPr>
      <w:r w:rsidRPr="00553D8B">
        <w:lastRenderedPageBreak/>
        <w:t>Introduction</w:t>
      </w:r>
    </w:p>
    <w:p w:rsidR="00F17E02" w:rsidRPr="005C72A4" w:rsidRDefault="00F17E02" w:rsidP="00F17E02">
      <w:pPr>
        <w:spacing w:line="240" w:lineRule="auto"/>
        <w:rPr>
          <w:rFonts w:ascii="Times New Roman" w:eastAsia="SimSun" w:hAnsi="Times New Roman" w:cs="Times New Roman"/>
          <w:color w:val="0D0D0D" w:themeColor="text1" w:themeTint="F2"/>
          <w:sz w:val="24"/>
          <w:szCs w:val="24"/>
        </w:rPr>
      </w:pPr>
      <w:r w:rsidRPr="005C72A4">
        <w:rPr>
          <w:rFonts w:ascii="Times New Roman" w:eastAsia="SimSun" w:hAnsi="Times New Roman" w:cs="Times New Roman"/>
          <w:color w:val="0D0D0D" w:themeColor="text1" w:themeTint="F2"/>
          <w:sz w:val="24"/>
          <w:szCs w:val="24"/>
        </w:rPr>
        <w:t xml:space="preserve">The current global conventional wisdom emphatically and unequivocally agrees on the role that PAs have played in protecting wildlife, cultural relics, and life-sustaining ecosystems in the last decades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 xml:space="preserve">ADDIN CSL_CITATION {"citationItems":[{"id":"ITEM-1","itemData":{"DOI":"10.1111/conl.12684","ISSN":"1755263X","abstract":"Protected areas are a global cornerstone of biodiversity conservation and restoration. Yet freshwater biodiversity is continuing to decline rapidly. To date there has been no formal review of the effectiveness of protected areas for conserving or restoring biodiversity in rivers, lakes, and wetlands. We present the first assessment using a systematic review of the published scientific evidence of the effectiveness of freshwater protected areas. Systematic searches returned 2,586 separate publications, of which 44 provided quantitative evidence comprising 75 case studies. Of these, 38 reported positive, 25 neutral, and 12 negative outcomes for freshwater biodiversity conservation. Analysis revealed variable relationships between conservation effectiveness and factors such as taxa assessed, protected area size and characteristics, International Union for Conservation of Nature (IUCN) protected area category, and ecoregion. Lack of effectiveness was attributed to many anthropogenic factors, including fishing (often with a lack of law enforcement), water management (abstraction, dams, and flow regulation), habitat degradation, and invasive non-native species. Drawing on the review and wider literature we distil eight lessons to enhance the effectiveness of protected areas for freshwater biodiversity conservation. We urge policymakers, protected area managers, and those who fund them to invest in well-designed research and monitoring programs and publication of evidence of protected area effectiveness.","author":[{"dropping-particle":"","family":"Acreman","given":"Michael","non-dropping-particle":"","parse-names":false,"suffix":""},{"dropping-particle":"","family":"Hughes","given":"Kathy A.","non-dropping-particle":"","parse-names":false,"suffix":""},{"dropping-particle":"","family":"Arthington","given":"Angela H.","non-dropping-particle":"","parse-names":false,"suffix":""},{"dropping-particle":"","family":"Tickner","given":"David","non-dropping-particle":"","parse-names":false,"suffix":""},{"dropping-particle":"","family":"Dueñas","given":"Manuel Angel","non-dropping-particle":"","parse-names":false,"suffix":""}],"container-title":"Conservation Letters","id":"ITEM-1","issue":"7","issued":{"date-parts":[["2019"]]},"page":"1-14","title":"Protected areas and freshwater biodiversity: a novel systematic review distils eight lessons for effective conservation","type":"article-journal","volume":"1"},"uris":["http://www.mendeley.com/documents/?uuid=c88fffb2-b790-4719-a65f-8df685672f24"]},{"id":"ITEM-2","itemData":{"DOI":"10.1038/s41893-019-0275-5","ISSN":"23989629","abstract":"Protected areas are a fundamental mechanism for conserving global biodiversity. Given limited conservation funds and shortfalls in funding for existing protected area management needs, a critical question is: should countries and states spend new funds on purchasing more land or managing existing protected areas to an acceptable standard? We used a non-spatial dynamic landscape model to compare the relative importance of expansion of protected areas versus improved protected area management in diverse contexts. We provide guidance on how to allocate funding across these two actions, and the order in which these actions should be prioritized. We discover that, in contrast with spending patterns, which focus on expansion rather than management, management is often the better first investment. The relative priority of expansion and management is determined by observable factors: the relative costs of the two actions and rates of degradation in protected and unprotected areas. Importantly, regardless of these factors, the final recommended action is always to split the budget across expansion and management such that there is adequate money for management. This highlights that, while our existing protected areas are an important asset, increased investment in management is essential to maximize their potential to protect biodiversity.","author":[{"dropping-particle":"","family":"Adams","given":"Vanessa M.","non-dropping-particle":"","parse-names":false,"suffix":""},{"dropping-particle":"","family":"Iacona","given":"Gwenllian D.","non-dropping-particle":"","parse-names":false,"suffix":""},{"dropping-particle":"","family":"Possingham","given":"Hugh P.","non-dropping-particle":"","parse-names":false,"suffix":""}],"container-title":"Nature Sustainability","id":"ITEM-2","issue":"5","issued":{"date-parts":[["2019"]]},"page":"404-411","publisher":"Springer US","title":"Weighing the benefits of expanding protected areas versus managing existing ones","type":"article-journal","volume":"2"},"uris":["http://www.mendeley.com/documents/?uuid=5b208a7c-c75d-49c4-8712-a744a8eb422e"]},{"id":"ITEM-3","itemData":{"DOI":"10.1016/j.worlddev.2019.06.019","ISSN":"18735991","abstract":"Protected areas (PAs) are a cornerstone of conservation policy. While evidence shows that, overall, PAs have contributed to preserving forests, their impact varies greatly depending on the institutional context. This paper provides new evidence on the mechanisms through which local institutions shape the effectiveness of PAs. We use high-resolution satellite imagery of deforestation and illicit activities in Colombia and spatial regression discontinuity methods to estimate the causal effect of PAs in different institutional contexts. Our main results indicate that PAs significantly reduce deforestation, with larger effects for collective lands than national (strict-use) PAs, and no impact for regional (multiple-use) PAs. However, national PAs are only effective near human settlements, in municipalities that provide more public goods and are less violent. In remote areas, national PAs are particularly vulnerable to the expansion of coca crops and gold mining. In contrast, collective lands reduce coca crops and avoid deforestation in remote, less developed regions. These results highlight the extent to which natural PAs rely on the institutional capacity of the national and local governments, while collective lands protect forests even when state presence is weak.","author":[{"dropping-particle":"","family":"Bonilla-Mejía","given":"Leonardo","non-dropping-particle":"","parse-names":false,"suffix":""},{"dropping-particle":"","family":"Higuera-Mendieta","given":"Iván","non-dropping-particle":"","parse-names":false,"suffix":""}],"container-title":"World Development","id":"ITEM-3","issued":{"date-parts":[["2019"]]},"page":"585-596","title":"Protected areas under weak institutions: Evidence from Colombia","type":"article-journal","volume":"122"},"uris":["http://www.mendeley.com/documents/?uuid=65b036f7-cace-4e1a-abd6-f0dc8516ee3a"]},{"id":"ITEM-4","itemData":{"DOI":"10.1111/csp2.50","ISSN":"25784854","abstract":"Climate change poses a serious threat to biodiversity and unprecedented challenges to the preservation and protection of natural landscapes. We evaluated how climate change might affect vegetation in 22 of the largest and most iconic protected area (PA) complexes across North America. We use a climate analog model to estimate how dominant vegetation types might shift under mid-(2041–2070) and late-century (2071–2100) climate according to the RCP 8.5 scenario. Maps depicting vegetation for each PA and time period are provided. Our analysis suggests that half (11 of 22) of the PAs may have substantially different vegetation by late-21st century compared with reference period conditions. The overall trend is toward vegetation associated with warmer or drier climates (or both), with near complete losses of alpine communities at the highest elevations and high latitudes. At low elevation and latitudes, vegetation communities associated with novel climate conditions may assemble in PAs. These potential shifts, contractions, and expansions in vegetation portray the possible trends across landscapes that are of great concern for conservation, as such changes imply cascading ecological responses for associated flora and fauna. Overall, our findings highlight the challenges managers may face to maintain and preserve biodiversity in key PAs across North America.","author":[{"dropping-particle":"","family":"Holsinger","given":"Lisa","non-dropping-particle":"","parse-names":false,"suffix":""},{"dropping-particle":"","family":"Parks","given":"Sean A.","non-dropping-particle":"","parse-names":false,"suffix":""},{"dropping-particle":"","family":"Parisien","given":"Marc André","non-dropping-particle":"","parse-names":false,"suffix":""},{"dropping-particle":"","family":"Miller","given":"Carol","non-dropping-particle":"","parse-names":false,"suffix":""},{"dropping-particle":"","family":"Batllori","given":"Enric","non-dropping-particle":"","parse-names":false,"suffix":""},{"dropping-particle":"","family":"Moritz","given":"Max A.","non-dropping-particle":"","parse-names":false,"suffix":""}],"container-title":"Conservation Science and Practice","id":"ITEM-4","issue":"7","issued":{"date-parts":[["2019"]]},"page":"1-17","title":"Climate change likely to reshape vegetation in North America's largest protected areas","type":"article-journal","volume":"1"},"uris":["http://www.mendeley.com/documents/?uuid=794e239a-b19a-42a4-b230-93ceafb26ba3"]},{"id":"ITEM-5","itemData":{"DOI":"10.1111/conl.12712","ISSN":"1755263X","abstract":"Global and national commitments to slow biodiversity loss by expanding protected area networks also provide opportunities to evaluate conservation priorities in the face of climate change. Using recently developed indicators of climatic macrorefugia, environmental diversity, and corridors, we conducted a systematic, climate-informed prioritization of conservation values across North America. We explicitly considered complementarity of multiple conservation objectives, capturing key niche-based temperature and moisture thresholds for 324 tree species and 268 songbird species. Conservation rankings were influenced most strongly by climate corridors and species-specific refugia layers. Although areas of high conservation value under climate change were partially aligned with existing protected areas, </w:instrText>
      </w:r>
      <w:r w:rsidRPr="005C72A4">
        <w:rPr>
          <w:rFonts w:ascii="Cambria Math" w:eastAsia="SimSun" w:hAnsi="Cambria Math" w:cs="Cambria Math"/>
          <w:color w:val="0D0D0D" w:themeColor="text1" w:themeTint="F2"/>
          <w:sz w:val="24"/>
          <w:szCs w:val="24"/>
        </w:rPr>
        <w:instrText>∼</w:instrText>
      </w:r>
      <w:r w:rsidRPr="005C72A4">
        <w:rPr>
          <w:rFonts w:ascii="Times New Roman" w:eastAsia="SimSun" w:hAnsi="Times New Roman" w:cs="Times New Roman"/>
          <w:color w:val="0D0D0D" w:themeColor="text1" w:themeTint="F2"/>
          <w:sz w:val="24"/>
          <w:szCs w:val="24"/>
        </w:rPr>
        <w:instrText>80% of areas within the top quintile of biome-level conservation values lack formal protection. Results from this study and application of our approach elsewhere can help improve the long-term value of conservation investments at multiple spatial scales.","author":[{"dropping-particle":"","family":"Stralberg","given":"Diana","non-dropping-particle":"","parse-names":false,"suffix":""},{"dropping-particle":"","family":"Carroll","given":"Carlos","non-dropping-particle":"","parse-names":false,"suffix":""},{"dropping-particle":"","family":"Nielsen","given":"Scott E.","non-dropping-particle":"","parse-names":false,"suffix":""}],"container-title":"Conservation Letters","id":"ITEM-5","issue":"4","issued":{"date-parts":[["2020"]]},"page":"1-10","title":"Toward a climate-informed North American protected areas network: Incorporating climate-change refugia and corridors in conservation planning","type":"article-journal","volume":"13"},"uris":["http://www.mendeley.com/documents/?uuid=c7e94d2a-9a78-4d3b-b612-2124b97c1dac"]},{"id":"ITEM-6","itemData":{"DOI":"10.1016/j.tree.2019.05.009","author":[{"dropping-particle":"","family":"Xu Weihua; Pimm Stuart L.; Du Ao; Su Yang; Fan Xinyue; An Li; Liu Jianguo; Ouyang Zhiyun;","given":"","non-dropping-particle":"","parse-names":false,"suffix":""}],"container-title":"Trends in Ecology &amp; Evolution","id":"ITEM-6","issue":"9","issued":{"date-parts":[["2019"]]},"page":"762-766","title":"Transforming protected area management in China","type":"article-journal","volume":"34"},"uris":["http://www.mendeley.com/documents/?uuid=c5d47419-1f3f-410a-a1f6-6edf7a12159b"]},{"id":"ITEM-7","itemData":{"DOI":"10.1038/nature13947","ISSN":"14764687","PMID":"25373676","abstract":"Originally conceived to conserve iconic landscapes and wildlife, protected areas are now expected to achieve an increasingly diverse set of conservation, social and economic objectives. The amount of land and sea designated as formally protected has markedly increased over the past century, but there is still a major shortfall in political commitments to enhance the coverage and effectiveness of protected areas. Financial support for protected areas is dwarfed by the benefits that they provide, but these returns depend on effective management. A step change involving increased recognition, funding, planning and enforcement is urgently needed if protected areas are going to fulfil their potential.","author":[{"dropping-particle":"","family":"Watson","given":"James E.M.","non-dropping-particle":"","parse-names":false,"suffix":""},{"dropping-particle":"","family":"Dudley","given":"Nigel","non-dropping-particle":"","parse-names":false,"suffix":""},{"dropping-particle":"","family":"Segan","given":"Daniel B.","non-dropping-particle":"","parse-names":false,"suffix":""},{"dropping-particle":"","family":"Hockings","given":"Marc","non-dropping-particle":"","parse-names":false,"suffix":""}],"container-title":"Nature","id":"ITEM-7","issue":"7525","issued":{"date-parts":[["2014"]]},"page":"67-73","title":"The performance and potential of protected areas","type":"article-journal","volume":"515"},"uris":["http://www.mendeley.com/documents/?uuid=5815f03b-fb55-40d5-9ffb-efa90c03bfbc"]}],"mendeley":{"formattedCitation":"(Watson &lt;i&gt;et al.&lt;/i&gt;, 2014; Acreman &lt;i&gt;et al.&lt;/i&gt;, 2019; Adams, Iacona and Possingham, 2019; Bonilla-Mejía and Higuera-Mendieta, 2019; Holsinger &lt;i&gt;et al.&lt;/i&gt;, 2019; Xu Weihua; Pimm Stuart L.; Du Ao; Su Yang; Fan Xinyue; An Li; Liu Jianguo; Ouyang Zhiyun;, 2019; Stralberg, Carroll and Nielsen, 2020)","manualFormatting":"(Watson et al., 2014; Acreman et al., 2019; Adams, Iacona, and Possingham, 2019; Bonilla-Mejía and Higuera-Mendieta, 2019; Holsinger et al., 2019; Xu et al., 2019; Stralberg, Carroll, and Nielsen, 2020)","plainTextFormattedCitation":"(Watson et al., 2014; Acreman et al., 2019; Adams, Iacona and Possingham, 2019; Bonilla-Mejía and Higuera-Mendieta, 2019; Holsinger et al., 2019; Xu Weihua; Pimm Stuart L.; Du Ao; Su Yang; Fan Xinyue; An Li; Liu Jianguo; Ouyang Zhiyun;, 2019; Stralberg, Carroll and Nielsen, 2020)","previouslyFormattedCitation":"(Watson &lt;i&gt;et al.&lt;/i&gt;, 2014; Acreman &lt;i&gt;et al.&lt;/i&gt;, 2019; Adams, Iacona and Possingham, 2019; Bonilla-Mejía and Higuera-Mendieta, 2019; Holsinger &lt;i&gt;et al.&lt;/i&gt;, 2019; Xu Weihua; Pimm Stuart L.; Du Ao; Su Yang; Fan Xinyue; An Li; Liu Jianguo; Ouyang Zhiyun;, 2019; Stralberg, Carroll and Nielsen, 2020)"},"properties":{"noteIndex":0},"schema":"https://github.com/citation-style-language/schema/raw/master/csl-citation.json"}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 xml:space="preserve">(Watson </w:t>
      </w:r>
      <w:r w:rsidRPr="005C72A4">
        <w:rPr>
          <w:rFonts w:ascii="Times New Roman" w:eastAsia="SimSun" w:hAnsi="Times New Roman" w:cs="Times New Roman"/>
          <w:i/>
          <w:noProof/>
          <w:color w:val="0D0D0D" w:themeColor="text1" w:themeTint="F2"/>
          <w:sz w:val="24"/>
          <w:szCs w:val="24"/>
        </w:rPr>
        <w:t>et al.</w:t>
      </w:r>
      <w:r w:rsidRPr="005C72A4">
        <w:rPr>
          <w:rFonts w:ascii="Times New Roman" w:eastAsia="SimSun" w:hAnsi="Times New Roman" w:cs="Times New Roman"/>
          <w:noProof/>
          <w:color w:val="0D0D0D" w:themeColor="text1" w:themeTint="F2"/>
          <w:sz w:val="24"/>
          <w:szCs w:val="24"/>
        </w:rPr>
        <w:t xml:space="preserve">, 2014; Acreman </w:t>
      </w:r>
      <w:r w:rsidRPr="005C72A4">
        <w:rPr>
          <w:rFonts w:ascii="Times New Roman" w:eastAsia="SimSun" w:hAnsi="Times New Roman" w:cs="Times New Roman"/>
          <w:i/>
          <w:noProof/>
          <w:color w:val="0D0D0D" w:themeColor="text1" w:themeTint="F2"/>
          <w:sz w:val="24"/>
          <w:szCs w:val="24"/>
        </w:rPr>
        <w:t>et al.</w:t>
      </w:r>
      <w:r w:rsidRPr="005C72A4">
        <w:rPr>
          <w:rFonts w:ascii="Times New Roman" w:eastAsia="SimSun" w:hAnsi="Times New Roman" w:cs="Times New Roman"/>
          <w:noProof/>
          <w:color w:val="0D0D0D" w:themeColor="text1" w:themeTint="F2"/>
          <w:sz w:val="24"/>
          <w:szCs w:val="24"/>
        </w:rPr>
        <w:t xml:space="preserve">, 2019; Adams, Iacona, and Possingham, 2019; Bonilla-Mejía and Higuera-Mendieta, 2019; Holsinger </w:t>
      </w:r>
      <w:r w:rsidRPr="005C72A4">
        <w:rPr>
          <w:rFonts w:ascii="Times New Roman" w:eastAsia="SimSun" w:hAnsi="Times New Roman" w:cs="Times New Roman"/>
          <w:i/>
          <w:noProof/>
          <w:color w:val="0D0D0D" w:themeColor="text1" w:themeTint="F2"/>
          <w:sz w:val="24"/>
          <w:szCs w:val="24"/>
        </w:rPr>
        <w:t>et al.</w:t>
      </w:r>
      <w:r w:rsidRPr="005C72A4">
        <w:rPr>
          <w:rFonts w:ascii="Times New Roman" w:eastAsia="SimSun" w:hAnsi="Times New Roman" w:cs="Times New Roman"/>
          <w:noProof/>
          <w:color w:val="0D0D0D" w:themeColor="text1" w:themeTint="F2"/>
          <w:sz w:val="24"/>
          <w:szCs w:val="24"/>
        </w:rPr>
        <w:t>, 2019; Xu et al., 2019; Stralberg, Carroll, and Nielsen, 2020)</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 xml:space="preserve">. Recent reports on the state of PAs in the world unanimously show that their numbers and coverage have increased significantly. An increase in PAs coverage from about 10% to at least 15% for terrestrial, and from about 3% to at least 7% for marine areas have been recorded between 2010 and 2020. Without PAs, the extinction of mammals and birds would probably have been two to four times higher during that period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ADDIN CSL_CITATION {"citationItems":[{"id":"ITEM-1","itemData":{"author":[{"dropping-particle":"","family":"UNEP","given":"","non-dropping-particle":"","parse-names":false,"suffix":""}],"id":"ITEM-1","issued":{"date-parts":[["2021"]]},"number-of-pages":"13-17","publisher-place":"Kunming, China","title":"Kunming Declaration-Ecological civilization: Building a shared future for all life on Earth","type":"report"},"uris":["http://www.mendeley.com/documents/?uuid=4e52f45a-c187-4140-ab11-17d4688e7077"]}],"mendeley":{"formattedCitation":"(UNEP, 2021)","plainTextFormattedCitation":"(UNEP, 2021)","previouslyFormattedCitation":"(UNEP, 2021)"},"properties":{"noteIndex":0},"schema":"https://github.com/citation-style-language/schema/raw/master/csl-citation.json"}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(UNEP, 2021)</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 xml:space="preserve">. Very few would argue the indispensable contribution PAs will continue to play in safeguarding both biodiversity and cultural resources from mounting human pressures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ADDIN CSL_CITATION {"citationItems":[{"id":"ITEM-1","itemData":{"DOI":"10.1111/cobi.12970","ISSN":"15231739","PMID":"28639356","abstract":"To contribute to the aspirations of recent international biodiversity conventions, protected areas (PAs) must be strategically located and not simply established on economically marginal lands as they have in the past. With refined international commitments under the Convention on Biological Diversity to target protected areas in places of “importance to biodiversity,” perhaps they may now be. We analyzed location biases in PAs globally over historic (pre-2004) and recent periods. Specifically, we examined whether the location of protected areas are more closely associated with high concentrations of threatened vertebrate species or with areas of low agricultural opportunity costs. We found that both old and new protected areas did not target places with high concentrations of threatened vertebrate species. Instead, they appeared to be established in locations that minimize conflict with agriculturally suitable lands. This entrenchment of past trends has substantial implications for the contributions these protected areas are making to international commitments to conserve biodiversity. If protected-area growth from 2004 to 2014 had strategically targeted unrepresented threatened vertebrates, &gt;30 times more species (3086 or 2553 potential vs. 85 actual new species represented) would have been protected for the same area or the same cost as the actual expansion. With the land available for conservation declining, nations must urgently focus new protection on places that provide for the conservation outcomes outlined in international treaties.","author":[{"dropping-particle":"","family":"Venter","given":"Oscar","non-dropping-particle":"","parse-names":false,"suffix":""},{"dropping-particle":"","family":"Magrach","given":"Ainhoa","non-dropping-particle":"","parse-names":false,"suffix":""},{"dropping-particle":"","family":"Outram","given":"Nick","non-dropping-particle":"","parse-names":false,"suffix":""},{"dropping-particle":"","family":"Klein","given":"Carissa Joy","non-dropping-particle":"","parse-names":false,"suffix":""},{"dropping-particle":"","family":"Possingham","given":"Hugh P.","non-dropping-particle":"","parse-names":false,"suffix":""},{"dropping-particle":"","family":"Marco","given":"Moreno","non-dropping-particle":"Di","parse-names":false,"suffix":""},{"dropping-particle":"","family":"Watson","given":"James E.M.","non-dropping-particle":"","parse-names":false,"suffix":""}],"container-title":"Conservation Biology","id":"ITEM-1","issue":"1","issued":{"date-parts":[["2018"]]},"page":"127-134","title":"Bias in protected-area location and its effects on long-term aspirations of biodiversity conventions","type":"article-journal","volume":"32"},"uris":["http://www.mendeley.com/documents/?uuid=7976a320-e6b8-455a-b437-3772f2409a83"]}],"mendeley":{"formattedCitation":"(Venter &lt;i&gt;et al.&lt;/i&gt;, 2018)","plainTextFormattedCitation":"(Venter et al., 2018)","previouslyFormattedCitation":"(Venter &lt;i&gt;et al.&lt;/i&gt;, 2018)"},"properties":{"noteIndex":0},"schema":"https://github.com/citation-style-language/schema/raw/master/csl-citation.json"}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 xml:space="preserve">(Venter </w:t>
      </w:r>
      <w:r w:rsidRPr="005C72A4">
        <w:rPr>
          <w:rFonts w:ascii="Times New Roman" w:eastAsia="SimSun" w:hAnsi="Times New Roman" w:cs="Times New Roman"/>
          <w:i/>
          <w:noProof/>
          <w:color w:val="0D0D0D" w:themeColor="text1" w:themeTint="F2"/>
          <w:sz w:val="24"/>
          <w:szCs w:val="24"/>
        </w:rPr>
        <w:t>et al.</w:t>
      </w:r>
      <w:r w:rsidRPr="005C72A4">
        <w:rPr>
          <w:rFonts w:ascii="Times New Roman" w:eastAsia="SimSun" w:hAnsi="Times New Roman" w:cs="Times New Roman"/>
          <w:noProof/>
          <w:color w:val="0D0D0D" w:themeColor="text1" w:themeTint="F2"/>
          <w:sz w:val="24"/>
          <w:szCs w:val="24"/>
        </w:rPr>
        <w:t>, 2018)</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 xml:space="preserve">. PAs are essential components of climate change mitigation and adaptation </w:t>
      </w:r>
      <w:r w:rsidR="009118EA" w:rsidRPr="005C72A4">
        <w:rPr>
          <w:rFonts w:ascii="Times New Roman" w:eastAsia="SimSun" w:hAnsi="Times New Roman" w:cs="Times New Roman"/>
          <w:color w:val="0D0D0D" w:themeColor="text1" w:themeTint="F2"/>
          <w:sz w:val="24"/>
          <w:szCs w:val="24"/>
        </w:rPr>
        <w:t>approaches adopted by nations globally</w:t>
      </w:r>
      <w:r w:rsidRPr="005C72A4">
        <w:rPr>
          <w:rFonts w:ascii="Times New Roman" w:eastAsia="SimSun" w:hAnsi="Times New Roman" w:cs="Times New Roman"/>
          <w:color w:val="0D0D0D" w:themeColor="text1" w:themeTint="F2"/>
          <w:sz w:val="24"/>
          <w:szCs w:val="24"/>
        </w:rPr>
        <w:t xml:space="preserve">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ADDIN CSL_CITATION {"citationItems":[{"id":"ITEM-1","itemData":{"DOI":"10.1126/sciadv.aay0814","ISSN":"23752548","PMID":"32596440","abstract":"Protected areas (PAs) are essential to biodiversity conservation, but their static boundaries may undermine their potential for protecting species under climate change. We assessed how the climatic conditions within global terrestrial PAs may change over time. By 2070, protection is expected to decline in cold and warm climates and increase in cool and hot climates over a wide range of precipitation. Most countries are expected to fail to protect &gt;90% of their available climate at current levels. The evenness of climatic representation under protection-not the amount of area protected-positively influenced the retention of climatic conditions under protection. On average, protection retention would increase by ~118% if countries doubled their climatic representativeness under protection or by ~102% if countries collectively reduced emissions in accordance with global targets. Therefore, alongside adoption of mitigation policies, adaptation policies that improve the complementarity of climatic conditions within PAs will help countries safeguard biodiversity.","author":[{"dropping-particle":"","family":"Elsen","given":"Paul R.","non-dropping-particle":"","parse-names":false,"suffix":""},{"dropping-particle":"","family":"Monahan","given":"William B.","non-dropping-particle":"","parse-names":false,"suffix":""},{"dropping-particle":"","family":"Dougherty","given":"Eric R.","non-dropping-particle":"","parse-names":false,"suffix":""},{"dropping-particle":"","family":"Merenlender","given":"Adina M.","non-dropping-particle":"","parse-names":false,"suffix":""}],"container-title":"Science Advances","id":"ITEM-1","issue":"25","issued":{"date-parts":[["2020"]]},"title":"Keeping pace with climate change in global terrestrial protected areas","type":"article-journal","volume":"6"},"uris":["http://www.mendeley.com/documents/?uuid=d077aa50-ab4e-4880-b0b5-18a76eedac47"]}],"mendeley":{"formattedCitation":"(Elsen &lt;i&gt;et al.&lt;/i&gt;, 2020)","plainTextFormattedCitation":"(Elsen et al., 2020)","previouslyFormattedCitation":"(Elsen &lt;i&gt;et al.&lt;/i&gt;, 2020)"},"properties":{"noteIndex":0},"schema":"https://github.com/citation-style-language/schema/raw/master/csl-citation.json"}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 xml:space="preserve">(Elsen </w:t>
      </w:r>
      <w:r w:rsidRPr="005C72A4">
        <w:rPr>
          <w:rFonts w:ascii="Times New Roman" w:eastAsia="SimSun" w:hAnsi="Times New Roman" w:cs="Times New Roman"/>
          <w:i/>
          <w:noProof/>
          <w:color w:val="0D0D0D" w:themeColor="text1" w:themeTint="F2"/>
          <w:sz w:val="24"/>
          <w:szCs w:val="24"/>
        </w:rPr>
        <w:t>et al.</w:t>
      </w:r>
      <w:r w:rsidRPr="005C72A4">
        <w:rPr>
          <w:rFonts w:ascii="Times New Roman" w:eastAsia="SimSun" w:hAnsi="Times New Roman" w:cs="Times New Roman"/>
          <w:noProof/>
          <w:color w:val="0D0D0D" w:themeColor="text1" w:themeTint="F2"/>
          <w:sz w:val="24"/>
          <w:szCs w:val="24"/>
        </w:rPr>
        <w:t>, 2020)</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 xml:space="preserve">. Protecting life on land and below water (Goal 14 and Goal 15) constitute two of the 17 major global aspirations of the United Nations to achieve a better and more </w:t>
      </w:r>
      <w:r w:rsidR="009118EA" w:rsidRPr="005C72A4">
        <w:rPr>
          <w:rFonts w:ascii="Times New Roman" w:eastAsia="SimSun" w:hAnsi="Times New Roman" w:cs="Times New Roman"/>
          <w:color w:val="0D0D0D" w:themeColor="text1" w:themeTint="F2"/>
          <w:sz w:val="24"/>
          <w:szCs w:val="24"/>
        </w:rPr>
        <w:t xml:space="preserve">long-standing future for every individual, often referred to as </w:t>
      </w:r>
      <w:r w:rsidRPr="005C72A4">
        <w:rPr>
          <w:rFonts w:ascii="Times New Roman" w:eastAsia="SimSun" w:hAnsi="Times New Roman" w:cs="Times New Roman"/>
          <w:color w:val="0D0D0D" w:themeColor="text1" w:themeTint="F2"/>
          <w:sz w:val="24"/>
          <w:szCs w:val="24"/>
        </w:rPr>
        <w:t>Sustainable Development Goals (SDGs)</w:t>
      </w:r>
      <w:r w:rsidR="009118EA" w:rsidRPr="005C72A4">
        <w:rPr>
          <w:rFonts w:ascii="Times New Roman" w:eastAsia="SimSun" w:hAnsi="Times New Roman" w:cs="Times New Roman"/>
          <w:color w:val="0D0D0D" w:themeColor="text1" w:themeTint="F2"/>
          <w:sz w:val="24"/>
          <w:szCs w:val="24"/>
        </w:rPr>
        <w:t xml:space="preserve"> to ensure a shared prosperity and well-being</w:t>
      </w:r>
      <w:r w:rsidRPr="005C72A4">
        <w:rPr>
          <w:rFonts w:ascii="Times New Roman" w:eastAsia="SimSun" w:hAnsi="Times New Roman" w:cs="Times New Roman"/>
          <w:color w:val="0D0D0D" w:themeColor="text1" w:themeTint="F2"/>
          <w:sz w:val="24"/>
          <w:szCs w:val="24"/>
        </w:rPr>
        <w:t xml:space="preserve">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ADDIN CSL_CITATION {"citationItems":[{"id":"ITEM-1","itemData":{"URL":"https://sdgs.un.org/goals","accessed":{"date-parts":[["2022","11","11"]]},"author":[{"dropping-particle":"","family":"UN","given":"","non-dropping-particle":"","parse-names":false,"suffix":""}],"id":"ITEM-1","issued":{"date-parts":[["2022"]]},"title":"The 17 Goals of Sustainable Development","type":"webpage"},"uris":["http://www.mendeley.com/documents/?uuid=f8c1b77c-8367-3c9f-9ca3-473c503d6d83"]}],"mendeley":{"formattedCitation":"(UN, 2022)","plainTextFormattedCitation":"(UN, 2022)","previouslyFormattedCitation":"(UN, 2022)"},"properties":{"noteIndex":0},"schema":"https://github.com/citation-style-language/schema/raw/master/csl-citation.json"}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(UN, 2022)</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 xml:space="preserve">. The Kunming Declaration of the Convention on Biological Diversity concluded that the increase of PAs coverage and the improvement of PAs effectiveness are some of the key commitments of the ambitious and transformative post-2020 global biodiversity framework of the Convention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ADDIN CSL_CITATION {"citationItems":[{"id":"ITEM-1","itemData":{"author":[{"dropping-particle":"","family":"UNEP","given":"","non-dropping-particle":"","parse-names":false,"suffix":""}],"id":"ITEM-1","issued":{"date-parts":[["2021"]]},"number-of-pages":"13-17","publisher-place":"Kunming, China","title":"Kunming Declaration-Ecological civilization: Building a shared future for all life on Earth","type":"report"},"uris":["http://www.mendeley.com/documents/?uuid=4e52f45a-c187-4140-ab11-17d4688e7077"]}],"mendeley":{"formattedCitation":"(UNEP, 2021)","plainTextFormattedCitation":"(UNEP, 2021)","previouslyFormattedCitation":"(UNEP, 2021)"},"properties":{"noteIndex":0},"schema":"https://github.com/citation-style-language/schema/raw/master/csl-citation.json"}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(UNEP, 2021)</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 xml:space="preserve">. While PAs are widely spread all over the planet, the creation of the first PAs only commenced some 100 years ago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ADDIN CSL_CITATION {"citationItems":[{"id":"ITEM-1","itemData":{"DOI":"10.2307/2711623","ISSN":"00030678","abstract":"No abstract available.","author":[{"dropping-particle":"","family":"Nash","given":"Roderick","non-dropping-particle":"","parse-names":false,"suffix":""}],"container-title":"American Quarterly","id":"ITEM-1","issue":"3","issued":{"date-parts":[["1970"]]},"page":"726-735","title":"The American invention of national parks","type":"article-journal","volume":"22"},"uris":["http://www.mendeley.com/documents/?uuid=f82f022e-10b6-4bcd-ac9e-5623df92dfa0"]},{"id":"ITEM-2","itemData":{"DOI":"10.1016/j.biocon.2016.05.022","ISSN":"0006-3207","author":[{"dropping-particle":"","family":"Miller-Rushing","given":"Abraham J.","non-dropping-particle":"","parse-names":false,"suffix":""},{"dropping-particle":"","family":"Primack","given":"Richard B.","non-dropping-particle":"","parse-names":false,"suffix":""},{"dropping-particle":"","family":"Ma","given":"Keping","non-dropping-particle":"","parse-names":false,"suffix":""},{"dropping-particle":"","family":"Zhou","given":"Zhi-Qiang","non-dropping-particle":"","parse-names":false,"suffix":""}],"container-title":"Biological Conservation","id":"ITEM-2","issued":{"date-parts":[["2016"]]},"page":"101-112","publisher":"Elsevier Ltd.","title":"A Chinese approach to protected areas: A case study comparison with the United States","type":"article-journal","volume":"210"},"uris":["http://www.mendeley.com/documents/?uuid=579117b7-fd1d-42f7-8169-7df09ec8cffe"]}],"mendeley":{"formattedCitation":"(Nash, 1970; Miller-Rushing &lt;i&gt;et al.&lt;/i&gt;, 2016)","plainTextFormattedCitation":"(Nash, 1970; Miller-Rushing et al., 2016)","previouslyFormattedCitation":"(Nash, 1970; Miller-Rushing &lt;i&gt;et al.&lt;/i&gt;, 2016)"},"properties":{"noteIndex":0},"schema":"https://github.com/citation-style-language/schema/raw/master/csl-citation.json"}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 xml:space="preserve">(Nash, 1970; Miller-Rushing </w:t>
      </w:r>
      <w:r w:rsidRPr="005C72A4">
        <w:rPr>
          <w:rFonts w:ascii="Times New Roman" w:eastAsia="SimSun" w:hAnsi="Times New Roman" w:cs="Times New Roman"/>
          <w:i/>
          <w:noProof/>
          <w:color w:val="0D0D0D" w:themeColor="text1" w:themeTint="F2"/>
          <w:sz w:val="24"/>
          <w:szCs w:val="24"/>
        </w:rPr>
        <w:t>et al.</w:t>
      </w:r>
      <w:r w:rsidRPr="005C72A4">
        <w:rPr>
          <w:rFonts w:ascii="Times New Roman" w:eastAsia="SimSun" w:hAnsi="Times New Roman" w:cs="Times New Roman"/>
          <w:noProof/>
          <w:color w:val="0D0D0D" w:themeColor="text1" w:themeTint="F2"/>
          <w:sz w:val="24"/>
          <w:szCs w:val="24"/>
        </w:rPr>
        <w:t>, 2016)</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 The birth of the PAs idea can quite precisely be traced back from the USA.</w:t>
      </w:r>
      <w:r w:rsidRPr="005C72A4">
        <w:rPr>
          <w:rFonts w:ascii="Times New Roman" w:hAnsi="Times New Roman" w:cs="Times New Roman"/>
          <w:color w:val="0D0D0D" w:themeColor="text1" w:themeTint="F2"/>
          <w:sz w:val="24"/>
          <w:szCs w:val="24"/>
        </w:rPr>
        <w:t xml:space="preserve"> </w:t>
      </w:r>
      <w:r w:rsidRPr="005C72A4">
        <w:rPr>
          <w:rFonts w:ascii="Times New Roman" w:eastAsia="SimSun" w:hAnsi="Times New Roman" w:cs="Times New Roman"/>
          <w:color w:val="0D0D0D" w:themeColor="text1" w:themeTint="F2"/>
          <w:sz w:val="24"/>
          <w:szCs w:val="24"/>
        </w:rPr>
        <w:t xml:space="preserve">The USA has pioneered the NP concept in three ways: (1). The establishment of the first NPs, Yellowstone National Park (1982) and Yosemite National Park (1890), (2). The establishment of the early guiding documents among which are the Antiquities Act (1906) and the National Park Service Organic Act (1916), and (3). The creation of the managing institution, the National Park Service (NPS) the agency tasked with a dual mandate, to make federal park resources available and accessible for public use and enjoyment, but also preserve the ecological and historical integrity of those resources for the enjoyment of future generations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ADDIN CSL_CITATION {"citationItems":[{"id":"ITEM-1","itemData":{"author":[{"dropping-particle":"","family":"Murphy","given":"Kristin","non-dropping-particle":"","parse-names":false,"suffix":""},{"dropping-particle":"","family":"Holmes","given":"Thomas","non-dropping-particle":"","parse-names":false,"suffix":""}],"id":"ITEM-1","issued":{"date-parts":[["2017"]]},"number-of-pages":"68","publisher":"Duke University","title":"Analysis of commercial use management policies in the National Park Service","type":"thesis"},"uris":["http://www.mendeley.com/documents/?uuid=04927676-ce0e-4b9b-89ba-fa966c7c9d6d"]},{"id":"ITEM-2","itemData":{"DOI":"10.2307/j.ctt4cgjr2.33","author":[{"dropping-particle":"","family":"Hellmann","given":"Donald J.","non-dropping-particle":"","parse-names":false,"suffix":""}],"container-title":"Akron Law Review","id":"ITEM-2","issue":"1","issued":{"date-parts":[["2017"]]},"page":"527-528","title":"The National Park Service at 100","type":"article-journal","volume":"50"},"uris":["http://www.mendeley.com/documents/?uuid=79e7de40-1abf-4a69-9c82-bc2eb72f113c"]}],"mendeley":{"formattedCitation":"(Hellmann, 2017; Murphy and Holmes, 2017)","plainTextFormattedCitation":"(Hellmann, 2017; Murphy and Holmes, 2017)","previouslyFormattedCitation":"(Hellmann, 2017; Murphy and Holmes, 2017)"},"properties":{"noteIndex":0},"schema":"https://github.com/citation-style-language/schema/raw/master/csl-citation.json"}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(Hellmann, 2017; Murphy and Holmes, 2017)</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 While the USA is hailed to have initiated a global model for the conservation of natural landscapes, which countless Americans proudly call the “America’s Best Idea” and shared it with the rest of the world, the positive attitude and values of preserving nature have existed long before in many cultures and communities</w:t>
      </w:r>
      <w:r w:rsidR="00FB7DBB" w:rsidRPr="005C72A4">
        <w:rPr>
          <w:rFonts w:ascii="Times New Roman" w:eastAsia="SimSun" w:hAnsi="Times New Roman" w:cs="Times New Roman"/>
          <w:color w:val="0D0D0D" w:themeColor="text1" w:themeTint="F2"/>
          <w:sz w:val="24"/>
          <w:szCs w:val="24"/>
        </w:rPr>
        <w:t xml:space="preserve"> as well</w:t>
      </w:r>
      <w:r w:rsidRPr="005C72A4">
        <w:rPr>
          <w:rFonts w:ascii="Times New Roman" w:eastAsia="SimSun" w:hAnsi="Times New Roman" w:cs="Times New Roman"/>
          <w:color w:val="0D0D0D" w:themeColor="text1" w:themeTint="F2"/>
          <w:sz w:val="24"/>
          <w:szCs w:val="24"/>
        </w:rPr>
        <w:t xml:space="preserve">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ADDIN CSL_CITATION {"citationItems":[{"id":"ITEM-1","itemData":{"author":[{"dropping-particle":"","family":"Henry","given":"Cait M.","non-dropping-particle":"","parse-names":false,"suffix":""},{"dropping-particle":"","family":"Kiewra","given":"Lydia","non-dropping-particle":"","parse-names":false,"suffix":""},{"dropping-particle":"","family":"Knight","given":"Eleanor M.","non-dropping-particle":"","parse-names":false,"suffix":""},{"dropping-particle":"","family":"Rojas","given":"Camila","non-dropping-particle":"","parse-names":false,"suffix":""},{"dropping-particle":"","family":"Rushing","given":"Jaclyn R.","non-dropping-particle":"","parse-names":false,"suffix":""}],"container-title":"Parks Stewardship Forum","id":"ITEM-1","issue":"3","issued":{"date-parts":[["2021"]]},"page":"527-533","title":"(Re)Centering social justice: Thinking about co-management of and access to parks and protected areas in the United States","type":"article-journal","volume":"37"},"uris":["http://www.mendeley.com/documents/?uuid=ce0e35c5-98d4-455a-8a41-bbb264778875"]},{"id":"ITEM-2","itemData":{"DOI":"10.1080/00045608.2012.689240","ISSN":"00045608","abstract":"It has been said that national parks are \"America's Best Idea,\" they are among the most famous and instantly recognizable places in the country, and they attract visitors from all over the world. Yet visitors to these sites are overwhelmingly white. A number of theoretical perspectives have been proposed for the absence of minority visitors, including socioeconomic marginality, differing cultural norms, and the lingering legacy of discrimination, but geography is not one of the usual explanations. Given the strong associations between particular regions of the country and the locations of parks, as well as the uneven spatial distribution of population, the absence of geography as an explanation is striking. We examine this issue with the expectation that geography is an important part of the explanation for low minority visitation rates. Put simply, do potential minority visitors live anywhere near national park units? Are they more likely to visit the ones to which they live nearest? This study uses the geographic concept of accessibility to examine the spatial relationships between national parks and potential minority visitors. Accessibility was measured using driving times between each of 285 parks and county populations, with the results compared to a visitation database compiled for fifty-one park units. There is clearly a relationship between park visitation and the location of minority populations, in the sense that racial or ethnic minorities are disproportionately represented at closer and smaller national parks. © 2013 Copyright Taylor and Francis Group, LLC.","author":[{"dropping-particle":"","family":"Weber","given":"Joe","non-dropping-particle":"","parse-names":false,"suffix":""},{"dropping-particle":"","family":"Sultana","given":"Selima","non-dropping-particle":"","parse-names":false,"suffix":""}],"container-title":"Annals of the Association of American Geographers","id":"ITEM-2","issue":"3","issued":{"date-parts":[["2013"]]},"page":"437-464","title":"Why do so few minority people visit national parks? Visitation and the accessibility of \"America's Best Idea\"","type":"article-journal","volume":"103"},"uris":["http://www.mendeley.com/documents/?uuid=cd4164d1-6f70-49f5-9c99-7f866a69547d"]},{"id":"ITEM-3","itemData":{"DOI":"10.4324/9781315064208","ISBN":"9781135989668","abstract":"First Published in 2011. Routledge is an imprint of Taylor &amp; Francis, an informa company.","author":[{"dropping-particle":"","family":"Foresta","given":"Ronald A.","non-dropping-particle":"","parse-names":false,"suffix":""}],"container-title":"America's National Parks and Their Keepers","id":"ITEM-3","issued":{"date-parts":[["2013"]]},"number-of-pages":"1-383","publisher":"Resources for the Future","publisher-place":"New York and London","title":"America's national parks and their keepers","type":"book"},"uris":["http://www.mendeley.com/documents/?uuid=c27d7341-2fb4-451b-8d20-429f502b029a"]}],"mendeley":{"formattedCitation":"(Foresta, 2013; Weber and Sultana, 2013; Henry &lt;i&gt;et al.&lt;/i&gt;, 2021)","plainTextFormattedCitation":"(Foresta, 2013; Weber and Sultana, 2013; Henry et al., 2021)","previouslyFormattedCitation":"(Foresta, 2013; Weber and Sultana, 2013; Henry &lt;i&gt;et al.&lt;/i&gt;, 2021)"},"properties":{"noteIndex":0},"schema":"https://github.com/citation-style-language/schema/raw/master/csl-citation.json"}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 xml:space="preserve">(Foresta, 2013; Weber and Sultana, 2013; Henry </w:t>
      </w:r>
      <w:r w:rsidRPr="005C72A4">
        <w:rPr>
          <w:rFonts w:ascii="Times New Roman" w:eastAsia="SimSun" w:hAnsi="Times New Roman" w:cs="Times New Roman"/>
          <w:i/>
          <w:noProof/>
          <w:color w:val="0D0D0D" w:themeColor="text1" w:themeTint="F2"/>
          <w:sz w:val="24"/>
          <w:szCs w:val="24"/>
        </w:rPr>
        <w:t>et al.</w:t>
      </w:r>
      <w:r w:rsidRPr="005C72A4">
        <w:rPr>
          <w:rFonts w:ascii="Times New Roman" w:eastAsia="SimSun" w:hAnsi="Times New Roman" w:cs="Times New Roman"/>
          <w:noProof/>
          <w:color w:val="0D0D0D" w:themeColor="text1" w:themeTint="F2"/>
          <w:sz w:val="24"/>
          <w:szCs w:val="24"/>
        </w:rPr>
        <w:t>, 2021)</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 For instance, in the Far East (China, India, Japan, etc.) a strong tradition of worshipping and appreciating wild nature through indigenous beliefs and teachings of all the five major religions of the regions (Buddhism, Confucianism, Hinduism, Taoism, and Shinto) can be traced back at least to two thousand years Before the Common Era (BCE). In other parts of the world, ancient kings and highest dignitaries have since the dawn of time generally been delighted in monopolistic landholding practices and enclosure of large portions of land from the masses, yet there were no NPs nor anything closely equivalent. The genius of the American NP system lies in ensuring the preservation of natural and cultural resources through providing ownership and benefits to the people.</w:t>
      </w:r>
    </w:p>
    <w:p w:rsidR="00F17E02" w:rsidRPr="005C72A4" w:rsidRDefault="00F17E02" w:rsidP="00F17E02">
      <w:pPr>
        <w:spacing w:line="240" w:lineRule="auto"/>
        <w:rPr>
          <w:rFonts w:ascii="Times New Roman" w:eastAsia="SimSun" w:hAnsi="Times New Roman" w:cs="Times New Roman"/>
          <w:color w:val="0D0D0D" w:themeColor="text1" w:themeTint="F2"/>
          <w:sz w:val="24"/>
          <w:szCs w:val="24"/>
        </w:rPr>
      </w:pPr>
      <w:r w:rsidRPr="005C72A4">
        <w:rPr>
          <w:rFonts w:ascii="Times New Roman" w:eastAsia="SimSun" w:hAnsi="Times New Roman" w:cs="Times New Roman"/>
          <w:color w:val="0D0D0D" w:themeColor="text1" w:themeTint="F2"/>
          <w:sz w:val="24"/>
          <w:szCs w:val="24"/>
        </w:rPr>
        <w:t xml:space="preserve">However, mounting voices are increasingly showing scepticism about the achievement and ability of PAs at ensuring the long-term conservation of biodiversity, and even for their own survival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ADDIN CSL_CITATION {"citationItems":[{"id":"ITEM-1","itemData":{"DOI":"10.1126/science.aau5525","ISSN":"10959203","PMID":"31147519","abstract":"Protected areas are intended to safeguard biodiversity in perpetuity, yet evidence suggests that widespread legal changes undermine protected area durability and efficacy. We documented these legal changes-protected area downgrading, downsizing, and degazettement (PADDD) events-in the United States and Amazonian countries and compiled available data globally. Governments of the United States and Amazonian countries enacted 269 and 440 PADDD events, respectively. Between 1892 and 2018, 73 countries enacted 3749 PADDD events, removing 519,857 square kilometers from protection and tempering regulations in an additional 1,659,972 square kilometers; 78% of events were enacted since 2000. Most PADDD events (62%) are associated with industrial-scale resource extraction and development, suggesting that PADDD may compromise biodiversity conservation objectives. Strategic policy responses are needed to address PADDD and sustain effective protected areas.","author":[{"dropping-particle":"","family":"Kroner","given":"Golden Rachel E.","non-dropping-particle":"","parse-names":false,"suffix":""},{"dropping-particle":"","family":"Qin","given":"Siyu","non-dropping-particle":"","parse-names":false,"suffix":""},{"dropping-particle":"","family":"Cook","given":"Carly N.","non-dropping-particle":"","parse-names":false,"suffix":""},{"dropping-particle":"","family":"Krithivasan","given":"Roopa","non-dropping-particle":"","parse-names":false,"suffix":""},{"dropping-particle":"","family":"Pack","given":"Shalynn M.","non-dropping-particle":"","parse-names":false,"suffix":""},{"dropping-particle":"","family":"Bonilla","given":"Oscar D.","non-dropping-particle":"","parse-names":false,"suffix":""},{"dropping-particle":"","family":"Cort-Kansinally","given":"Kerry Anne","non-dropping-particle":"","parse-names":false,"suffix":""},{"dropping-particle":"","family":"Coutinho","given":"Bruno","non-dropping-particle":"","parse-names":false,"suffix":""},{"dropping-particle":"","family":"Feng","given":"Mingmin","non-dropping-particle":"","parse-names":false,"suffix":""},{"dropping-particle":"","family":"Garcia","given":"Maria Isabel Martínez","non-dropping-particle":"","parse-names":false,"suffix":""},{"dropping-particle":"","family":"He","given":"Yifan","non-dropping-particle":"","parse-names":false,"suffix":""},{"dropping-particle":"","family":"Kennedy","given":"Chris J.","non-dropping-particle":"","parse-names":false,"suffix":""},{"dropping-particle":"","family":"Lebreton","given":"Clotilde","non-dropping-particle":"","parse-names":false,"suffix":""},{"dropping-particle":"","family":"Ledezma","given":"Juan Carlos","non-dropping-particle":"","parse-names":false,"suffix":""},{"dropping-particle":"","family":"Lovejoy","given":"Thomas E.","non-dropping-particle":"","parse-names":false,"suffix":""},{"dropping-particle":"","family":"Luther","given":"David A.","non-dropping-particle":"","parse-names":false,"suffix":""},{"dropping-particle":"","family":"Parmanand","given":"Yohan","non-dropping-particle":"","parse-names":false,"suffix":""},{"dropping-particle":"","family":"Ruíz-Agudelo","given":"César Augusto","non-dropping-particle":"","parse-names":false,"suffix":""},{"dropping-particle":"","family":"Yerena","given":"Edgard","non-dropping-particle":"","parse-names":false,"suffix":""},{"dropping-particle":"","family":"Zambrano","given":"Vilisa Morón","non-dropping-particle":"","parse-names":false,"suffix":""},{"dropping-particle":"","family":"Mascia","given":"Michael B.","non-dropping-particle":"","parse-names":false,"suffix":""}],"container-title":"Science","id":"ITEM-1","issue":"6443","issued":{"date-parts":[["2019"]]},"page":"881-886","title":"The uncertain future of protected lands and waters","type":"article-journal","volume":"364"},"uris":["http://www.mendeley.com/documents/?uuid=f48ef532-eeaa-47e4-b83a-ee3ad1b70ef6"]}],"mendeley":{"formattedCitation":"(Kroner &lt;i&gt;et al.&lt;/i&gt;, 2019)","plainTextFormattedCitation":"(Kroner et al., 2019)","previouslyFormattedCitation":"(Kroner &lt;i&gt;et al.&lt;/i&gt;, 2019)"},"properties":{"noteIndex":0},"schema":"https://github.com/citation-style-language/schema/raw/master/csl-citation.json"}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 xml:space="preserve">(Kroner </w:t>
      </w:r>
      <w:r w:rsidRPr="005C72A4">
        <w:rPr>
          <w:rFonts w:ascii="Times New Roman" w:eastAsia="SimSun" w:hAnsi="Times New Roman" w:cs="Times New Roman"/>
          <w:i/>
          <w:noProof/>
          <w:color w:val="0D0D0D" w:themeColor="text1" w:themeTint="F2"/>
          <w:sz w:val="24"/>
          <w:szCs w:val="24"/>
        </w:rPr>
        <w:t>et al.</w:t>
      </w:r>
      <w:r w:rsidRPr="005C72A4">
        <w:rPr>
          <w:rFonts w:ascii="Times New Roman" w:eastAsia="SimSun" w:hAnsi="Times New Roman" w:cs="Times New Roman"/>
          <w:noProof/>
          <w:color w:val="0D0D0D" w:themeColor="text1" w:themeTint="F2"/>
          <w:sz w:val="24"/>
          <w:szCs w:val="24"/>
        </w:rPr>
        <w:t>, 2019)</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 xml:space="preserve">. Despite high investments in security patrols and strong restrictions on access and use of protected resources, biodiversity has continued to decline </w:t>
      </w:r>
      <w:r w:rsidRPr="005C72A4">
        <w:rPr>
          <w:rFonts w:ascii="Times New Roman" w:eastAsia="SimSun" w:hAnsi="Times New Roman" w:cs="Times New Roman"/>
          <w:color w:val="0D0D0D" w:themeColor="text1" w:themeTint="F2"/>
          <w:sz w:val="24"/>
          <w:szCs w:val="24"/>
        </w:rPr>
        <w:lastRenderedPageBreak/>
        <w:t xml:space="preserve">and poaching has persisted in many parts of the world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ADDIN CSL_CITATION {"citationItems":[{"id":"ITEM-1","itemData":{"DOI":"10.20935/al3349","author":[{"dropping-particle":"","family":"Djomo Nana","given":"Eric","non-dropping-particle":"","parse-names":false,"suffix":""}],"container-title":"Academia Letters","id":"ITEM-1","issue":"August","issued":{"date-parts":[["2021"]]},"page":"Article 3349","title":"The paradigm of conservation in Central Africa is failing: An analysis of the current situation","type":"article-journal"},"uris":["http://www.mendeley.com/documents/?uuid=bc9e7d74-42d8-48a1-a8ce-6fbe4121b55f"]}],"mendeley":{"formattedCitation":"(Djomo Nana, 2021)","plainTextFormattedCitation":"(Djomo Nana, 2021)","previouslyFormattedCitation":"(Djomo Nana, 2021)"},"properties":{"noteIndex":0},"schema":"https://github.com/citation-style-language/schema/raw/master/csl-citation.json"}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(Djomo Nana, 2021)</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 xml:space="preserve">. Many cases of conflicts and human rights abuses associated with PAs have been reported. The creation and extension of PAs are often accused of undermining customary land rights and seriously stepping on already strained local livelihoods. While indigenous communities are generally known to possess traditional conservation knowledge, and a strong spiritual and physical link to wildlife, PAs are generally criticised for disproportionately ignoring, targeting, and brutalising them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ADDIN CSL_CITATION {"citationItems":[{"id":"ITEM-1","itemData":{"author":[{"dropping-particle":"","family":"Pyhälä","given":"Aili","non-dropping-particle":"","parse-names":false,"suffix":""},{"dropping-particle":"","family":"Orozco","given":"Ana Osuna","non-dropping-particle":"","parse-names":false,"suffix":""},{"dropping-particle":"","family":"Counsell","given":"Simon","non-dropping-particle":"","parse-names":false,"suffix":""}],"id":"ITEM-1","issue":"April","issued":{"date-parts":[["2016"]]},"title":"Protected areas in the Congo Basin: Failing both people and biodiversity?","type":"article-journal"},"uris":["http://www.mendeley.com/documents/?uuid=f9297951-d92d-4350-b1a2-6f8873c5e0af"]}],"mendeley":{"formattedCitation":"(Pyhälä, Orozco and Counsell, 2016)","manualFormatting":"(Pyhälä, Orozco, and Counsell, 2016)","plainTextFormattedCitation":"(Pyhälä, Orozco and Counsell, 2016)","previouslyFormattedCitation":"(Pyhälä, Orozco and Counsell, 2016)"},"properties":{"noteIndex":0},"schema":"https://github.com/citation-style-language/schema/raw/master/csl-citation.json"}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(Pyhälä, Orozco, and Counsell, 2016)</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 xml:space="preserve">. Some research has doubted some of PAs managements settings which, allegedly, counter or replace natural ecosystem self-regulating systems, or even questioned the capacity of the current global static terrestrial PAs in keeping pace with climate change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ADDIN CSL_CITATION {"citationItems":[{"id":"ITEM-1","itemData":{"DOI":"10.1126/science.aal1950","ISSN":"10959203","PMID":"28428392","abstract":"Ecosystems are self-regulating systems that provide societies with food, water, timber, and other resources. As demands for resources increase, management decisions are replacing self-regulating properties. Counter to previous technical approaches that applied simple formulas to estimate sustainable yields of single species, current research recognizes the inherent complexity of ecosystems and the inability to foresee all consequences of interventions across different spatial, temporal, and administrative scales. Ecosystem management is thus more realistically seen as a \"wicked problem\" that has no clear-cut solution. Approaches for addressing such problems include multisector decision-making, institutions that enable management to span across administrative boundaries, adaptive management, markets that incorporate natural capital, and collaborative processes to engage diverse stakeholders and address inequalities. Ecosystem management must avoid two traps: falsely assuming a tame solution and inaction from overwhelming complexity. An incremental approach can help to avoid these traps.","author":[{"dropping-particle":"","family":"DeFries","given":"Ruth","non-dropping-particle":"","parse-names":false,"suffix":""},{"dropping-particle":"","family":"Nagendra","given":"Harini","non-dropping-particle":"","parse-names":false,"suffix":""}],"container-title":"Science","id":"ITEM-1","issue":"6335","issued":{"date-parts":[["2017"]]},"page":"265-270","title":"Ecosystem management as a wicked problem","type":"article-journal","volume":"356"},"uris":["http://www.mendeley.com/documents/?uuid=99077e68-ce28-4355-9e5a-d2c0c44802bc"]},{"id":"ITEM-2","itemData":{"DOI":"10.1126/sciadv.aay0814","ISSN":"23752548","PMID":"32596440","abstract":"Protected areas (PAs) are essential to biodiversity conservation, but their static boundaries may undermine their potential for protecting species under climate change. We assessed how the climatic conditions within global terrestrial PAs may change over time. By 2070, protection is expected to decline in cold and warm climates and increase in cool and hot climates over a wide range of precipitation. Most countries are expected to fail to protect &gt;90% of their available climate at current levels. The evenness of climatic representation under protection-not the amount of area protected-positively influenced the retention of climatic conditions under protection. On average, protection retention would increase by ~118% if countries doubled their climatic representativeness under protection or by ~102% if countries collectively reduced emissions in accordance with global targets. Therefore, alongside adoption of mitigation policies, adaptation policies that improve the complementarity of climatic conditions within PAs will help countries safeguard biodiversity.","author":[{"dropping-particle":"","family":"Elsen","given":"Paul R.","non-dropping-particle":"","parse-names":false,"suffix":""},{"dropping-particle":"","family":"Monahan","given":"William B.","non-dropping-particle":"","parse-names":false,"suffix":""},{"dropping-particle":"","family":"Dougherty","given":"Eric R.","non-dropping-particle":"","parse-names":false,"suffix":""},{"dropping-particle":"","family":"Merenlender","given":"Adina M.","non-dropping-particle":"","parse-names":false,"suffix":""}],"container-title":"Science Advances","id":"ITEM-2","issue":"25","issued":{"date-parts":[["2020"]]},"title":"Keeping pace with climate change in global terrestrial protected areas","type":"article-journal","volume":"6"},"uris":["http://www.mendeley.com/documents/?uuid=d077aa50-ab4e-4880-b0b5-18a76eedac47"]}],"mendeley":{"formattedCitation":"(DeFries and Nagendra, 2017; Elsen &lt;i&gt;et al.&lt;/i&gt;, 2020)","plainTextFormattedCitation":"(DeFries and Nagendra, 2017; Elsen et al., 2020)","previouslyFormattedCitation":"(DeFries and Nagendra, 2017; Elsen &lt;i&gt;et al.&lt;/i&gt;, 2020)"},"properties":{"noteIndex":0},"schema":"https://github.com/citation-style-language/schema/raw/master/csl-citation.json"}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 xml:space="preserve">(DeFries and Nagendra, 2017; Elsen </w:t>
      </w:r>
      <w:r w:rsidRPr="005C72A4">
        <w:rPr>
          <w:rFonts w:ascii="Times New Roman" w:eastAsia="SimSun" w:hAnsi="Times New Roman" w:cs="Times New Roman"/>
          <w:i/>
          <w:noProof/>
          <w:color w:val="0D0D0D" w:themeColor="text1" w:themeTint="F2"/>
          <w:sz w:val="24"/>
          <w:szCs w:val="24"/>
        </w:rPr>
        <w:t>et al.</w:t>
      </w:r>
      <w:r w:rsidRPr="005C72A4">
        <w:rPr>
          <w:rFonts w:ascii="Times New Roman" w:eastAsia="SimSun" w:hAnsi="Times New Roman" w:cs="Times New Roman"/>
          <w:noProof/>
          <w:color w:val="0D0D0D" w:themeColor="text1" w:themeTint="F2"/>
          <w:sz w:val="24"/>
          <w:szCs w:val="24"/>
        </w:rPr>
        <w:t>, 2020)</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w:t>
      </w:r>
    </w:p>
    <w:p w:rsidR="00F17E02" w:rsidRPr="005C72A4" w:rsidRDefault="00F17E02" w:rsidP="00F17E02">
      <w:pPr>
        <w:spacing w:line="240" w:lineRule="auto"/>
        <w:rPr>
          <w:rFonts w:ascii="Times New Roman" w:eastAsia="SimSun" w:hAnsi="Times New Roman" w:cs="Times New Roman"/>
          <w:color w:val="0D0D0D" w:themeColor="text1" w:themeTint="F2"/>
          <w:sz w:val="24"/>
          <w:szCs w:val="24"/>
        </w:rPr>
      </w:pPr>
      <w:r w:rsidRPr="005C72A4">
        <w:rPr>
          <w:rFonts w:ascii="Times New Roman" w:eastAsia="SimSun" w:hAnsi="Times New Roman" w:cs="Times New Roman"/>
          <w:color w:val="0D0D0D" w:themeColor="text1" w:themeTint="F2"/>
          <w:sz w:val="24"/>
          <w:szCs w:val="24"/>
        </w:rPr>
        <w:t>Looking at the contrast between on one hand</w:t>
      </w:r>
      <w:r w:rsidR="00167EF2" w:rsidRPr="005C72A4">
        <w:rPr>
          <w:rFonts w:ascii="Times New Roman" w:eastAsia="SimSun" w:hAnsi="Times New Roman" w:cs="Times New Roman"/>
          <w:color w:val="0D0D0D" w:themeColor="text1" w:themeTint="F2"/>
          <w:sz w:val="24"/>
          <w:szCs w:val="24"/>
        </w:rPr>
        <w:t>,</w:t>
      </w:r>
      <w:r w:rsidRPr="005C72A4">
        <w:rPr>
          <w:rFonts w:ascii="Times New Roman" w:eastAsia="SimSun" w:hAnsi="Times New Roman" w:cs="Times New Roman"/>
          <w:color w:val="0D0D0D" w:themeColor="text1" w:themeTint="F2"/>
          <w:sz w:val="24"/>
          <w:szCs w:val="24"/>
        </w:rPr>
        <w:t xml:space="preserve"> the amazing success of some PAs systems around the planet some of which are late adopters of the </w:t>
      </w:r>
      <w:r w:rsidR="00B878D1" w:rsidRPr="005C72A4">
        <w:rPr>
          <w:rFonts w:ascii="Times New Roman" w:eastAsia="SimSun" w:hAnsi="Times New Roman" w:cs="Times New Roman"/>
          <w:color w:val="0D0D0D" w:themeColor="text1" w:themeTint="F2"/>
          <w:sz w:val="24"/>
          <w:szCs w:val="24"/>
        </w:rPr>
        <w:t>N</w:t>
      </w:r>
      <w:r w:rsidRPr="005C72A4">
        <w:rPr>
          <w:rFonts w:ascii="Times New Roman" w:eastAsia="SimSun" w:hAnsi="Times New Roman" w:cs="Times New Roman"/>
          <w:color w:val="0D0D0D" w:themeColor="text1" w:themeTint="F2"/>
          <w:sz w:val="24"/>
          <w:szCs w:val="24"/>
        </w:rPr>
        <w:t>Ps movement, and on the other hand</w:t>
      </w:r>
      <w:r w:rsidR="00167EF2" w:rsidRPr="005C72A4">
        <w:rPr>
          <w:rFonts w:ascii="Times New Roman" w:eastAsia="SimSun" w:hAnsi="Times New Roman" w:cs="Times New Roman"/>
          <w:color w:val="0D0D0D" w:themeColor="text1" w:themeTint="F2"/>
          <w:sz w:val="24"/>
          <w:szCs w:val="24"/>
        </w:rPr>
        <w:t>,</w:t>
      </w:r>
      <w:r w:rsidRPr="005C72A4">
        <w:rPr>
          <w:rFonts w:ascii="Times New Roman" w:eastAsia="SimSun" w:hAnsi="Times New Roman" w:cs="Times New Roman"/>
          <w:color w:val="0D0D0D" w:themeColor="text1" w:themeTint="F2"/>
          <w:sz w:val="24"/>
          <w:szCs w:val="24"/>
        </w:rPr>
        <w:t xml:space="preserve"> the </w:t>
      </w:r>
      <w:r w:rsidR="00167EF2" w:rsidRPr="005C72A4">
        <w:rPr>
          <w:rFonts w:ascii="Times New Roman" w:eastAsia="SimSun" w:hAnsi="Times New Roman" w:cs="Times New Roman"/>
          <w:color w:val="0D0D0D" w:themeColor="text1" w:themeTint="F2"/>
          <w:sz w:val="24"/>
          <w:szCs w:val="24"/>
        </w:rPr>
        <w:t>unanticipated</w:t>
      </w:r>
      <w:r w:rsidRPr="005C72A4">
        <w:rPr>
          <w:rFonts w:ascii="Times New Roman" w:eastAsia="SimSun" w:hAnsi="Times New Roman" w:cs="Times New Roman"/>
          <w:color w:val="0D0D0D" w:themeColor="text1" w:themeTint="F2"/>
          <w:sz w:val="24"/>
          <w:szCs w:val="24"/>
        </w:rPr>
        <w:t xml:space="preserve"> failures of other PAs systems some of which are early adopters of the </w:t>
      </w:r>
      <w:r w:rsidR="00B878D1" w:rsidRPr="005C72A4">
        <w:rPr>
          <w:rFonts w:ascii="Times New Roman" w:eastAsia="SimSun" w:hAnsi="Times New Roman" w:cs="Times New Roman"/>
          <w:color w:val="0D0D0D" w:themeColor="text1" w:themeTint="F2"/>
          <w:sz w:val="24"/>
          <w:szCs w:val="24"/>
        </w:rPr>
        <w:t>N</w:t>
      </w:r>
      <w:r w:rsidRPr="005C72A4">
        <w:rPr>
          <w:rFonts w:ascii="Times New Roman" w:eastAsia="SimSun" w:hAnsi="Times New Roman" w:cs="Times New Roman"/>
          <w:color w:val="0D0D0D" w:themeColor="text1" w:themeTint="F2"/>
          <w:sz w:val="24"/>
          <w:szCs w:val="24"/>
        </w:rPr>
        <w:t xml:space="preserve">Ps movement, one wonders </w:t>
      </w:r>
      <w:r w:rsidR="00B733D9" w:rsidRPr="005C72A4">
        <w:rPr>
          <w:rFonts w:ascii="Times New Roman" w:eastAsia="SimSun" w:hAnsi="Times New Roman" w:cs="Times New Roman"/>
          <w:color w:val="0D0D0D" w:themeColor="text1" w:themeTint="F2"/>
          <w:sz w:val="24"/>
          <w:szCs w:val="24"/>
        </w:rPr>
        <w:t xml:space="preserve">what </w:t>
      </w:r>
      <w:r w:rsidR="004813BC" w:rsidRPr="005C72A4">
        <w:rPr>
          <w:rFonts w:ascii="Times New Roman" w:eastAsia="SimSun" w:hAnsi="Times New Roman" w:cs="Times New Roman"/>
          <w:color w:val="0D0D0D" w:themeColor="text1" w:themeTint="F2"/>
          <w:sz w:val="24"/>
          <w:szCs w:val="24"/>
        </w:rPr>
        <w:t>goes</w:t>
      </w:r>
      <w:r w:rsidR="00B733D9" w:rsidRPr="005C72A4">
        <w:rPr>
          <w:rFonts w:ascii="Times New Roman" w:eastAsia="SimSun" w:hAnsi="Times New Roman" w:cs="Times New Roman"/>
          <w:color w:val="0D0D0D" w:themeColor="text1" w:themeTint="F2"/>
          <w:sz w:val="24"/>
          <w:szCs w:val="24"/>
        </w:rPr>
        <w:t xml:space="preserve"> wrong </w:t>
      </w:r>
      <w:r w:rsidR="00B878D1" w:rsidRPr="005C72A4">
        <w:rPr>
          <w:rFonts w:ascii="Times New Roman" w:eastAsia="SimSun" w:hAnsi="Times New Roman" w:cs="Times New Roman"/>
          <w:color w:val="0D0D0D" w:themeColor="text1" w:themeTint="F2"/>
          <w:sz w:val="24"/>
          <w:szCs w:val="24"/>
        </w:rPr>
        <w:t>with</w:t>
      </w:r>
      <w:r w:rsidR="00B733D9" w:rsidRPr="005C72A4">
        <w:rPr>
          <w:rFonts w:ascii="Times New Roman" w:eastAsia="SimSun" w:hAnsi="Times New Roman" w:cs="Times New Roman"/>
          <w:color w:val="0D0D0D" w:themeColor="text1" w:themeTint="F2"/>
          <w:sz w:val="24"/>
          <w:szCs w:val="24"/>
        </w:rPr>
        <w:t xml:space="preserve"> the later, and </w:t>
      </w:r>
      <w:r w:rsidR="00BE7B2E" w:rsidRPr="005C72A4">
        <w:rPr>
          <w:rFonts w:ascii="Times New Roman" w:eastAsia="SimSun" w:hAnsi="Times New Roman" w:cs="Times New Roman"/>
          <w:color w:val="0D0D0D" w:themeColor="text1" w:themeTint="F2"/>
          <w:sz w:val="24"/>
          <w:szCs w:val="24"/>
        </w:rPr>
        <w:t xml:space="preserve">from which point </w:t>
      </w:r>
      <w:r w:rsidR="00B733D9" w:rsidRPr="005C72A4">
        <w:rPr>
          <w:rFonts w:ascii="Times New Roman" w:eastAsia="SimSun" w:hAnsi="Times New Roman" w:cs="Times New Roman"/>
          <w:color w:val="0D0D0D" w:themeColor="text1" w:themeTint="F2"/>
          <w:sz w:val="24"/>
          <w:szCs w:val="24"/>
        </w:rPr>
        <w:t xml:space="preserve">things </w:t>
      </w:r>
      <w:r w:rsidR="00BE7B2E" w:rsidRPr="005C72A4">
        <w:rPr>
          <w:rFonts w:ascii="Times New Roman" w:eastAsia="SimSun" w:hAnsi="Times New Roman" w:cs="Times New Roman"/>
          <w:color w:val="0D0D0D" w:themeColor="text1" w:themeTint="F2"/>
          <w:sz w:val="24"/>
          <w:szCs w:val="24"/>
        </w:rPr>
        <w:t xml:space="preserve">could </w:t>
      </w:r>
      <w:r w:rsidR="00B733D9" w:rsidRPr="005C72A4">
        <w:rPr>
          <w:rFonts w:ascii="Times New Roman" w:eastAsia="SimSun" w:hAnsi="Times New Roman" w:cs="Times New Roman"/>
          <w:color w:val="0D0D0D" w:themeColor="text1" w:themeTint="F2"/>
          <w:sz w:val="24"/>
          <w:szCs w:val="24"/>
        </w:rPr>
        <w:t xml:space="preserve">have started </w:t>
      </w:r>
      <w:r w:rsidR="00BE7B2E" w:rsidRPr="005C72A4">
        <w:rPr>
          <w:rFonts w:ascii="Times New Roman" w:eastAsia="SimSun" w:hAnsi="Times New Roman" w:cs="Times New Roman"/>
          <w:color w:val="0D0D0D" w:themeColor="text1" w:themeTint="F2"/>
          <w:sz w:val="24"/>
          <w:szCs w:val="24"/>
        </w:rPr>
        <w:t xml:space="preserve">to deviate </w:t>
      </w:r>
      <w:r w:rsidR="00CC2403" w:rsidRPr="005C72A4">
        <w:rPr>
          <w:rFonts w:ascii="Times New Roman" w:eastAsia="SimSun" w:hAnsi="Times New Roman" w:cs="Times New Roman"/>
          <w:color w:val="0D0D0D" w:themeColor="text1" w:themeTint="F2"/>
          <w:sz w:val="24"/>
          <w:szCs w:val="24"/>
        </w:rPr>
        <w:t xml:space="preserve">away </w:t>
      </w:r>
      <w:r w:rsidR="00BE7B2E" w:rsidRPr="005C72A4">
        <w:rPr>
          <w:rFonts w:ascii="Times New Roman" w:eastAsia="SimSun" w:hAnsi="Times New Roman" w:cs="Times New Roman"/>
          <w:color w:val="0D0D0D" w:themeColor="text1" w:themeTint="F2"/>
          <w:sz w:val="24"/>
          <w:szCs w:val="24"/>
        </w:rPr>
        <w:t xml:space="preserve">from the </w:t>
      </w:r>
      <w:r w:rsidR="00FF0AF8" w:rsidRPr="005C72A4">
        <w:rPr>
          <w:rFonts w:ascii="Times New Roman" w:eastAsia="SimSun" w:hAnsi="Times New Roman" w:cs="Times New Roman"/>
          <w:color w:val="0D0D0D" w:themeColor="text1" w:themeTint="F2"/>
          <w:sz w:val="24"/>
          <w:szCs w:val="24"/>
        </w:rPr>
        <w:t xml:space="preserve">right direction </w:t>
      </w:r>
      <w:r w:rsidR="00B878D1" w:rsidRPr="005C72A4">
        <w:rPr>
          <w:rFonts w:ascii="Times New Roman" w:eastAsia="SimSun" w:hAnsi="Times New Roman" w:cs="Times New Roman"/>
          <w:color w:val="0D0D0D" w:themeColor="text1" w:themeTint="F2"/>
          <w:sz w:val="24"/>
          <w:szCs w:val="24"/>
        </w:rPr>
        <w:t>in order to get them</w:t>
      </w:r>
      <w:r w:rsidR="00FF0AF8" w:rsidRPr="005C72A4">
        <w:rPr>
          <w:rFonts w:ascii="Times New Roman" w:eastAsia="SimSun" w:hAnsi="Times New Roman" w:cs="Times New Roman"/>
          <w:color w:val="0D0D0D" w:themeColor="text1" w:themeTint="F2"/>
          <w:sz w:val="24"/>
          <w:szCs w:val="24"/>
        </w:rPr>
        <w:t xml:space="preserve"> back on the right track</w:t>
      </w:r>
      <w:r w:rsidR="004813BC" w:rsidRPr="005C72A4">
        <w:rPr>
          <w:rFonts w:ascii="Times New Roman" w:eastAsia="SimSun" w:hAnsi="Times New Roman" w:cs="Times New Roman"/>
          <w:color w:val="0D0D0D" w:themeColor="text1" w:themeTint="F2"/>
          <w:sz w:val="24"/>
          <w:szCs w:val="24"/>
        </w:rPr>
        <w:t xml:space="preserve">, the one that </w:t>
      </w:r>
      <w:r w:rsidR="00B878D1" w:rsidRPr="005C72A4">
        <w:rPr>
          <w:rFonts w:ascii="Times New Roman" w:eastAsia="SimSun" w:hAnsi="Times New Roman" w:cs="Times New Roman"/>
          <w:color w:val="0D0D0D" w:themeColor="text1" w:themeTint="F2"/>
          <w:sz w:val="24"/>
          <w:szCs w:val="24"/>
        </w:rPr>
        <w:t>was</w:t>
      </w:r>
      <w:r w:rsidR="004813BC" w:rsidRPr="005C72A4">
        <w:rPr>
          <w:rFonts w:ascii="Times New Roman" w:eastAsia="SimSun" w:hAnsi="Times New Roman" w:cs="Times New Roman"/>
          <w:color w:val="0D0D0D" w:themeColor="text1" w:themeTint="F2"/>
          <w:sz w:val="24"/>
          <w:szCs w:val="24"/>
        </w:rPr>
        <w:t xml:space="preserve"> established </w:t>
      </w:r>
      <w:r w:rsidR="00FF0AF8" w:rsidRPr="005C72A4">
        <w:rPr>
          <w:rFonts w:ascii="Times New Roman" w:eastAsia="SimSun" w:hAnsi="Times New Roman" w:cs="Times New Roman"/>
          <w:color w:val="0D0D0D" w:themeColor="text1" w:themeTint="F2"/>
          <w:sz w:val="24"/>
          <w:szCs w:val="24"/>
        </w:rPr>
        <w:t xml:space="preserve">by </w:t>
      </w:r>
      <w:r w:rsidR="004813BC" w:rsidRPr="005C72A4">
        <w:rPr>
          <w:rFonts w:ascii="Times New Roman" w:eastAsia="SimSun" w:hAnsi="Times New Roman" w:cs="Times New Roman"/>
          <w:color w:val="0D0D0D" w:themeColor="text1" w:themeTint="F2"/>
          <w:sz w:val="24"/>
          <w:szCs w:val="24"/>
        </w:rPr>
        <w:t xml:space="preserve">the </w:t>
      </w:r>
      <w:r w:rsidR="00BE7B2E" w:rsidRPr="005C72A4">
        <w:rPr>
          <w:rFonts w:ascii="Times New Roman" w:eastAsia="SimSun" w:hAnsi="Times New Roman" w:cs="Times New Roman"/>
          <w:color w:val="0D0D0D" w:themeColor="text1" w:themeTint="F2"/>
          <w:sz w:val="24"/>
          <w:szCs w:val="24"/>
        </w:rPr>
        <w:t xml:space="preserve">early guiding </w:t>
      </w:r>
      <w:r w:rsidR="004813BC" w:rsidRPr="005C72A4">
        <w:rPr>
          <w:rFonts w:ascii="Times New Roman" w:eastAsia="SimSun" w:hAnsi="Times New Roman" w:cs="Times New Roman"/>
          <w:color w:val="0D0D0D" w:themeColor="text1" w:themeTint="F2"/>
          <w:sz w:val="24"/>
          <w:szCs w:val="24"/>
        </w:rPr>
        <w:t>documents</w:t>
      </w:r>
      <w:r w:rsidR="00BE7B2E" w:rsidRPr="005C72A4">
        <w:rPr>
          <w:rFonts w:ascii="Times New Roman" w:eastAsia="SimSun" w:hAnsi="Times New Roman" w:cs="Times New Roman"/>
          <w:color w:val="0D0D0D" w:themeColor="text1" w:themeTint="F2"/>
          <w:sz w:val="24"/>
          <w:szCs w:val="24"/>
        </w:rPr>
        <w:t xml:space="preserve"> set out by the pioneers of the NPs movement</w:t>
      </w:r>
      <w:r w:rsidRPr="005C72A4">
        <w:rPr>
          <w:rFonts w:ascii="Times New Roman" w:eastAsia="SimSun" w:hAnsi="Times New Roman" w:cs="Times New Roman"/>
          <w:color w:val="0D0D0D" w:themeColor="text1" w:themeTint="F2"/>
          <w:sz w:val="24"/>
          <w:szCs w:val="24"/>
        </w:rPr>
        <w:t xml:space="preserve">. From their cradle in the USA to their furthest point of their global expansion, the development of PAs has occurred in completely different social and economic context, different challenges, and different history. Nevertheless, PAs are designated and managed to achieve the same specific conservation objectives regardless of their location or their national affiliations. The majority of assessments on PAs achievement have focused on quantity, i.e. numbers and coverage, but their </w:t>
      </w:r>
      <w:r w:rsidR="00F2184A" w:rsidRPr="005C72A4">
        <w:rPr>
          <w:rFonts w:ascii="Times New Roman" w:eastAsia="SimSun" w:hAnsi="Times New Roman" w:cs="Times New Roman"/>
          <w:color w:val="0D0D0D" w:themeColor="text1" w:themeTint="F2"/>
          <w:sz w:val="24"/>
          <w:szCs w:val="24"/>
        </w:rPr>
        <w:t xml:space="preserve">efficiency in preserving </w:t>
      </w:r>
      <w:r w:rsidRPr="005C72A4">
        <w:rPr>
          <w:rFonts w:ascii="Times New Roman" w:eastAsia="SimSun" w:hAnsi="Times New Roman" w:cs="Times New Roman"/>
          <w:color w:val="0D0D0D" w:themeColor="text1" w:themeTint="F2"/>
          <w:sz w:val="24"/>
          <w:szCs w:val="24"/>
        </w:rPr>
        <w:t>biodiversity</w:t>
      </w:r>
      <w:r w:rsidR="00F2184A" w:rsidRPr="005C72A4">
        <w:rPr>
          <w:rFonts w:ascii="Times New Roman" w:eastAsia="SimSun" w:hAnsi="Times New Roman" w:cs="Times New Roman"/>
          <w:color w:val="0D0D0D" w:themeColor="text1" w:themeTint="F2"/>
          <w:sz w:val="24"/>
          <w:szCs w:val="24"/>
        </w:rPr>
        <w:t xml:space="preserve"> over time is usually not measured</w:t>
      </w:r>
      <w:r w:rsidRPr="005C72A4">
        <w:rPr>
          <w:rFonts w:ascii="Times New Roman" w:eastAsia="SimSun" w:hAnsi="Times New Roman" w:cs="Times New Roman"/>
          <w:color w:val="0D0D0D" w:themeColor="text1" w:themeTint="F2"/>
          <w:sz w:val="24"/>
          <w:szCs w:val="24"/>
        </w:rPr>
        <w:t xml:space="preserve">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ADDIN CSL_CITATION {"citationItems":[{"id":"ITEM-1","itemData":{"DOI":"10.1016/j.biocon.2022.109884","ISSN":"00063207","abstract":"Protected areas are a key conservation tool, yet their effectiveness at maintaining biodiversity through time is rarely quantified. Here, we assess protected area effectiveness across sampled portions of Great Britain (primarily England) using regionalized (protected vs unprotected areas) Bayesian occupancy-detection models for 1238 invertebrate species at 1 km resolution, based on ~1 million occurrence records between 1990 and 2018. We quantified species richness, species trends, and compositional change (temporal beta diversity; decomposed into losses and gains). We report results overall, for two functional groups (pollinators and predators), and for rare and common species. Whilst we found that protected areas have 15 % more species on average than unprotected ones, declines in occupancy are of similar magnitude and species composition has changed 27 % across protected and unprotected areas, with losses dominating gains. Pollinators have suffered particularly severe declines. Still, protected areas are colonized by more locally-novel pollinator species than unprotected areas, suggesting that they might act as ‘landing pads’ for range-shifting pollinators. We find almost double the number of rare species in protected areas (although rare species trends are similar in protected and unprotected areas); whereas we uncover disproportionately steep declines for common species within protected areas. Our results highlight strong invertebrate reorganization and loss across both protected and unprotected areas. We therefore call for more effective protected areas, in combination with wider action, to bend the curve of biodiversity loss – where we provide a toolkit to quantify effectiveness. We must grasp the opportunity to effectively conserve biodiversity through time.","author":[{"dropping-particle":"","family":"Cooke","given":"Rob","non-dropping-particle":"","parse-names":false,"suffix":""},{"dropping-particle":"","family":"Mancini","given":"Francesca","non-dropping-particle":"","parse-names":false,"suffix":""},{"dropping-particle":"","family":"Boyd","given":"Robin J.","non-dropping-particle":"","parse-names":false,"suffix":""},{"dropping-particle":"","family":"Evans","given":"Karl L.","non-dropping-particle":"","parse-names":false,"suffix":""},{"dropping-particle":"","family":"Shaw","given":"Anna","non-dropping-particle":"","parse-names":false,"suffix":""},{"dropping-particle":"","family":"Webb","given":"Thomas J.","non-dropping-particle":"","parse-names":false,"suffix":""},{"dropping-particle":"","family":"Isaac","given":"Nick J.B.","non-dropping-particle":"","parse-names":false,"suffix":""}],"container-title":"Biological Conservation","id":"ITEM-1","issue":"December 2022","issued":{"date-parts":[["2023"]]},"page":"109884","publisher":"Elsevier Ltd","title":"Protected areas support more species than unprotected areas in Great Britain, but lose them equally rapidly","type":"article-journal","volume":"278"},"uris":["http://www.mendeley.com/documents/?uuid=a5aab54a-70d8-4a7e-bc2c-482ae81d02e9"]}],"mendeley":{"formattedCitation":"(Cooke &lt;i&gt;et al.&lt;/i&gt;, 2023)","plainTextFormattedCitation":"(Cooke et al., 2023)","previouslyFormattedCitation":"(Cooke &lt;i&gt;et al.&lt;/i&gt;, 2023)"},"properties":{"noteIndex":0},"schema":"https://github.com/citation-style-language/schema/raw/master/csl-citation.json"}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 xml:space="preserve">(Cooke </w:t>
      </w:r>
      <w:r w:rsidRPr="005C72A4">
        <w:rPr>
          <w:rFonts w:ascii="Times New Roman" w:eastAsia="SimSun" w:hAnsi="Times New Roman" w:cs="Times New Roman"/>
          <w:i/>
          <w:noProof/>
          <w:color w:val="0D0D0D" w:themeColor="text1" w:themeTint="F2"/>
          <w:sz w:val="24"/>
          <w:szCs w:val="24"/>
        </w:rPr>
        <w:t>et al.</w:t>
      </w:r>
      <w:r w:rsidRPr="005C72A4">
        <w:rPr>
          <w:rFonts w:ascii="Times New Roman" w:eastAsia="SimSun" w:hAnsi="Times New Roman" w:cs="Times New Roman"/>
          <w:noProof/>
          <w:color w:val="0D0D0D" w:themeColor="text1" w:themeTint="F2"/>
          <w:sz w:val="24"/>
          <w:szCs w:val="24"/>
        </w:rPr>
        <w:t>, 2023)</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 Many efforts have been invested in studying and finding strategic fixes from various angles to many broken PAs systems around the globe but the lack of interest in look</w:t>
      </w:r>
      <w:r w:rsidR="00BD6D3A" w:rsidRPr="005C72A4">
        <w:rPr>
          <w:rFonts w:ascii="Times New Roman" w:eastAsia="SimSun" w:hAnsi="Times New Roman" w:cs="Times New Roman"/>
          <w:color w:val="0D0D0D" w:themeColor="text1" w:themeTint="F2"/>
          <w:sz w:val="24"/>
          <w:szCs w:val="24"/>
        </w:rPr>
        <w:t>ing</w:t>
      </w:r>
      <w:r w:rsidRPr="005C72A4">
        <w:rPr>
          <w:rFonts w:ascii="Times New Roman" w:eastAsia="SimSun" w:hAnsi="Times New Roman" w:cs="Times New Roman"/>
          <w:color w:val="0D0D0D" w:themeColor="text1" w:themeTint="F2"/>
          <w:sz w:val="24"/>
          <w:szCs w:val="24"/>
        </w:rPr>
        <w:t xml:space="preserve"> back to the </w:t>
      </w:r>
      <w:r w:rsidR="00FA74FD" w:rsidRPr="005C72A4">
        <w:rPr>
          <w:rFonts w:ascii="Times New Roman" w:eastAsia="SimSun" w:hAnsi="Times New Roman" w:cs="Times New Roman"/>
          <w:color w:val="0D0D0D" w:themeColor="text1" w:themeTint="F2"/>
          <w:sz w:val="24"/>
          <w:szCs w:val="24"/>
        </w:rPr>
        <w:t xml:space="preserve">referral </w:t>
      </w:r>
      <w:r w:rsidRPr="005C72A4">
        <w:rPr>
          <w:rFonts w:ascii="Times New Roman" w:eastAsia="SimSun" w:hAnsi="Times New Roman" w:cs="Times New Roman"/>
          <w:color w:val="0D0D0D" w:themeColor="text1" w:themeTint="F2"/>
          <w:sz w:val="24"/>
          <w:szCs w:val="24"/>
        </w:rPr>
        <w:t>USA where it all began is absolutely striking. This assessment, ha</w:t>
      </w:r>
      <w:r w:rsidR="00FA74FD" w:rsidRPr="005C72A4">
        <w:rPr>
          <w:rFonts w:ascii="Times New Roman" w:eastAsia="SimSun" w:hAnsi="Times New Roman" w:cs="Times New Roman"/>
          <w:color w:val="0D0D0D" w:themeColor="text1" w:themeTint="F2"/>
          <w:sz w:val="24"/>
          <w:szCs w:val="24"/>
        </w:rPr>
        <w:t>s</w:t>
      </w:r>
      <w:r w:rsidRPr="005C72A4">
        <w:rPr>
          <w:rFonts w:ascii="Times New Roman" w:eastAsia="SimSun" w:hAnsi="Times New Roman" w:cs="Times New Roman"/>
          <w:color w:val="0D0D0D" w:themeColor="text1" w:themeTint="F2"/>
          <w:sz w:val="24"/>
          <w:szCs w:val="24"/>
        </w:rPr>
        <w:t xml:space="preserve"> examined this issue with</w:t>
      </w:r>
      <w:r w:rsidR="00FA74FD" w:rsidRPr="005C72A4">
        <w:rPr>
          <w:rFonts w:ascii="Times New Roman" w:eastAsia="SimSun" w:hAnsi="Times New Roman" w:cs="Times New Roman"/>
          <w:color w:val="0D0D0D" w:themeColor="text1" w:themeTint="F2"/>
          <w:sz w:val="24"/>
          <w:szCs w:val="24"/>
        </w:rPr>
        <w:t xml:space="preserve"> </w:t>
      </w:r>
      <w:r w:rsidR="00577CAC" w:rsidRPr="005C72A4">
        <w:rPr>
          <w:rFonts w:ascii="Times New Roman" w:eastAsia="SimSun" w:hAnsi="Times New Roman" w:cs="Times New Roman"/>
          <w:color w:val="0D0D0D" w:themeColor="text1" w:themeTint="F2"/>
          <w:sz w:val="24"/>
          <w:szCs w:val="24"/>
        </w:rPr>
        <w:t>expectation</w:t>
      </w:r>
      <w:r w:rsidR="00FA74FD" w:rsidRPr="005C72A4">
        <w:rPr>
          <w:rFonts w:ascii="Times New Roman" w:eastAsia="SimSun" w:hAnsi="Times New Roman" w:cs="Times New Roman"/>
          <w:color w:val="0D0D0D" w:themeColor="text1" w:themeTint="F2"/>
          <w:sz w:val="24"/>
          <w:szCs w:val="24"/>
        </w:rPr>
        <w:t xml:space="preserve"> that the comparison </w:t>
      </w:r>
      <w:r w:rsidR="00961B00" w:rsidRPr="005C72A4">
        <w:rPr>
          <w:rFonts w:ascii="Times New Roman" w:eastAsia="SimSun" w:hAnsi="Times New Roman" w:cs="Times New Roman"/>
          <w:color w:val="0D0D0D" w:themeColor="text1" w:themeTint="F2"/>
          <w:sz w:val="24"/>
          <w:szCs w:val="24"/>
        </w:rPr>
        <w:t xml:space="preserve">between the growth line </w:t>
      </w:r>
      <w:r w:rsidR="002B1C96" w:rsidRPr="005C72A4">
        <w:rPr>
          <w:rFonts w:ascii="Times New Roman" w:eastAsia="SimSun" w:hAnsi="Times New Roman" w:cs="Times New Roman"/>
          <w:color w:val="0D0D0D" w:themeColor="text1" w:themeTint="F2"/>
          <w:sz w:val="24"/>
          <w:szCs w:val="24"/>
        </w:rPr>
        <w:t xml:space="preserve">of the stemming PAs </w:t>
      </w:r>
      <w:r w:rsidR="00577CAC" w:rsidRPr="005C72A4">
        <w:rPr>
          <w:rFonts w:ascii="Times New Roman" w:eastAsia="SimSun" w:hAnsi="Times New Roman" w:cs="Times New Roman"/>
          <w:color w:val="0D0D0D" w:themeColor="text1" w:themeTint="F2"/>
          <w:sz w:val="24"/>
          <w:szCs w:val="24"/>
        </w:rPr>
        <w:t>systems</w:t>
      </w:r>
      <w:r w:rsidR="002B1C96" w:rsidRPr="005C72A4">
        <w:rPr>
          <w:rFonts w:ascii="Times New Roman" w:eastAsia="SimSun" w:hAnsi="Times New Roman" w:cs="Times New Roman"/>
          <w:color w:val="0D0D0D" w:themeColor="text1" w:themeTint="F2"/>
          <w:sz w:val="24"/>
          <w:szCs w:val="24"/>
        </w:rPr>
        <w:t xml:space="preserve"> and the growth line of </w:t>
      </w:r>
      <w:r w:rsidRPr="005C72A4">
        <w:rPr>
          <w:rFonts w:ascii="Times New Roman" w:eastAsia="SimSun" w:hAnsi="Times New Roman" w:cs="Times New Roman"/>
          <w:color w:val="0D0D0D" w:themeColor="text1" w:themeTint="F2"/>
          <w:sz w:val="24"/>
          <w:szCs w:val="24"/>
        </w:rPr>
        <w:t xml:space="preserve">the </w:t>
      </w:r>
      <w:r w:rsidR="002B1C96" w:rsidRPr="005C72A4">
        <w:rPr>
          <w:rFonts w:ascii="Times New Roman" w:eastAsia="SimSun" w:hAnsi="Times New Roman" w:cs="Times New Roman"/>
          <w:color w:val="0D0D0D" w:themeColor="text1" w:themeTint="F2"/>
          <w:sz w:val="24"/>
          <w:szCs w:val="24"/>
        </w:rPr>
        <w:t xml:space="preserve">original </w:t>
      </w:r>
      <w:r w:rsidRPr="005C72A4">
        <w:rPr>
          <w:rFonts w:ascii="Times New Roman" w:eastAsia="SimSun" w:hAnsi="Times New Roman" w:cs="Times New Roman"/>
          <w:color w:val="0D0D0D" w:themeColor="text1" w:themeTint="F2"/>
          <w:sz w:val="24"/>
          <w:szCs w:val="24"/>
        </w:rPr>
        <w:t xml:space="preserve">PAs </w:t>
      </w:r>
      <w:r w:rsidR="002B1C96" w:rsidRPr="005C72A4">
        <w:rPr>
          <w:rFonts w:ascii="Times New Roman" w:eastAsia="SimSun" w:hAnsi="Times New Roman" w:cs="Times New Roman"/>
          <w:color w:val="0D0D0D" w:themeColor="text1" w:themeTint="F2"/>
          <w:sz w:val="24"/>
          <w:szCs w:val="24"/>
        </w:rPr>
        <w:t>model</w:t>
      </w:r>
      <w:r w:rsidRPr="005C72A4">
        <w:rPr>
          <w:rFonts w:ascii="Times New Roman" w:eastAsia="SimSun" w:hAnsi="Times New Roman" w:cs="Times New Roman"/>
          <w:color w:val="0D0D0D" w:themeColor="text1" w:themeTint="F2"/>
          <w:sz w:val="24"/>
          <w:szCs w:val="24"/>
        </w:rPr>
        <w:t xml:space="preserve"> which is the American </w:t>
      </w:r>
      <w:r w:rsidR="00577CAC" w:rsidRPr="005C72A4">
        <w:rPr>
          <w:rFonts w:ascii="Times New Roman" w:eastAsia="SimSun" w:hAnsi="Times New Roman" w:cs="Times New Roman"/>
          <w:color w:val="0D0D0D" w:themeColor="text1" w:themeTint="F2"/>
          <w:sz w:val="24"/>
          <w:szCs w:val="24"/>
        </w:rPr>
        <w:t>NP system</w:t>
      </w:r>
      <w:r w:rsidRPr="005C72A4">
        <w:rPr>
          <w:rFonts w:ascii="Times New Roman" w:eastAsia="SimSun" w:hAnsi="Times New Roman" w:cs="Times New Roman"/>
          <w:color w:val="0D0D0D" w:themeColor="text1" w:themeTint="F2"/>
          <w:sz w:val="24"/>
          <w:szCs w:val="24"/>
        </w:rPr>
        <w:t xml:space="preserve"> </w:t>
      </w:r>
      <w:r w:rsidR="0043537B" w:rsidRPr="005C72A4">
        <w:rPr>
          <w:rFonts w:ascii="Times New Roman" w:eastAsia="SimSun" w:hAnsi="Times New Roman" w:cs="Times New Roman"/>
          <w:color w:val="0D0D0D" w:themeColor="text1" w:themeTint="F2"/>
          <w:sz w:val="24"/>
          <w:szCs w:val="24"/>
        </w:rPr>
        <w:t>would provide</w:t>
      </w:r>
      <w:r w:rsidRPr="005C72A4">
        <w:rPr>
          <w:rFonts w:ascii="Times New Roman" w:eastAsia="SimSun" w:hAnsi="Times New Roman" w:cs="Times New Roman"/>
          <w:color w:val="0D0D0D" w:themeColor="text1" w:themeTint="F2"/>
          <w:sz w:val="24"/>
          <w:szCs w:val="24"/>
        </w:rPr>
        <w:t xml:space="preserve"> important</w:t>
      </w:r>
      <w:r w:rsidR="0043537B" w:rsidRPr="005C72A4">
        <w:rPr>
          <w:rFonts w:ascii="Times New Roman" w:eastAsia="SimSun" w:hAnsi="Times New Roman" w:cs="Times New Roman"/>
          <w:color w:val="0D0D0D" w:themeColor="text1" w:themeTint="F2"/>
          <w:sz w:val="24"/>
          <w:szCs w:val="24"/>
        </w:rPr>
        <w:t xml:space="preserve"> insights </w:t>
      </w:r>
      <w:r w:rsidR="00577CAC" w:rsidRPr="005C72A4">
        <w:rPr>
          <w:rFonts w:ascii="Times New Roman" w:eastAsia="SimSun" w:hAnsi="Times New Roman" w:cs="Times New Roman"/>
          <w:color w:val="0D0D0D" w:themeColor="text1" w:themeTint="F2"/>
          <w:sz w:val="24"/>
          <w:szCs w:val="24"/>
        </w:rPr>
        <w:t>into the</w:t>
      </w:r>
      <w:r w:rsidR="001C6FF1" w:rsidRPr="005C72A4">
        <w:rPr>
          <w:rFonts w:ascii="Times New Roman" w:eastAsia="SimSun" w:hAnsi="Times New Roman" w:cs="Times New Roman"/>
          <w:color w:val="0D0D0D" w:themeColor="text1" w:themeTint="F2"/>
          <w:sz w:val="24"/>
          <w:szCs w:val="24"/>
        </w:rPr>
        <w:t xml:space="preserve"> 100 years’ experience</w:t>
      </w:r>
      <w:r w:rsidR="00577CAC" w:rsidRPr="005C72A4">
        <w:rPr>
          <w:rFonts w:ascii="Times New Roman" w:eastAsia="SimSun" w:hAnsi="Times New Roman" w:cs="Times New Roman"/>
          <w:color w:val="0D0D0D" w:themeColor="text1" w:themeTint="F2"/>
          <w:sz w:val="24"/>
          <w:szCs w:val="24"/>
        </w:rPr>
        <w:t xml:space="preserve"> of the first three African countries to join the NP</w:t>
      </w:r>
      <w:r w:rsidR="00B878D1" w:rsidRPr="005C72A4">
        <w:rPr>
          <w:rFonts w:ascii="Times New Roman" w:eastAsia="SimSun" w:hAnsi="Times New Roman" w:cs="Times New Roman"/>
          <w:color w:val="0D0D0D" w:themeColor="text1" w:themeTint="F2"/>
          <w:sz w:val="24"/>
          <w:szCs w:val="24"/>
        </w:rPr>
        <w:t>s</w:t>
      </w:r>
      <w:r w:rsidR="00577CAC" w:rsidRPr="005C72A4">
        <w:rPr>
          <w:rFonts w:ascii="Times New Roman" w:eastAsia="SimSun" w:hAnsi="Times New Roman" w:cs="Times New Roman"/>
          <w:color w:val="0D0D0D" w:themeColor="text1" w:themeTint="F2"/>
          <w:sz w:val="24"/>
          <w:szCs w:val="24"/>
        </w:rPr>
        <w:t xml:space="preserve"> movement</w:t>
      </w:r>
      <w:r w:rsidRPr="005C72A4">
        <w:rPr>
          <w:rFonts w:ascii="Times New Roman" w:eastAsia="SimSun" w:hAnsi="Times New Roman" w:cs="Times New Roman"/>
          <w:color w:val="0D0D0D" w:themeColor="text1" w:themeTint="F2"/>
          <w:sz w:val="24"/>
          <w:szCs w:val="24"/>
        </w:rPr>
        <w:t>.</w:t>
      </w:r>
    </w:p>
    <w:p w:rsidR="00F17E02" w:rsidRPr="005C72A4" w:rsidRDefault="00F17E02" w:rsidP="00F17E02">
      <w:pPr>
        <w:spacing w:line="240" w:lineRule="auto"/>
        <w:rPr>
          <w:rFonts w:ascii="Times New Roman" w:eastAsia="SimSun" w:hAnsi="Times New Roman" w:cs="Times New Roman"/>
          <w:color w:val="0D0D0D" w:themeColor="text1" w:themeTint="F2"/>
          <w:sz w:val="24"/>
          <w:szCs w:val="24"/>
        </w:rPr>
      </w:pPr>
      <w:r w:rsidRPr="005C72A4">
        <w:rPr>
          <w:rFonts w:ascii="Times New Roman" w:eastAsia="SimSun" w:hAnsi="Times New Roman" w:cs="Times New Roman"/>
          <w:color w:val="0D0D0D" w:themeColor="text1" w:themeTint="F2"/>
          <w:sz w:val="24"/>
          <w:szCs w:val="24"/>
        </w:rPr>
        <w:t xml:space="preserve">The year 1925 marks the establishment of the Virunga international conservation area also known as the Virunga massif, home to the famous mountain gorillas (Gorilla </w:t>
      </w:r>
      <w:proofErr w:type="spellStart"/>
      <w:r w:rsidRPr="005C72A4">
        <w:rPr>
          <w:rFonts w:ascii="Times New Roman" w:eastAsia="SimSun" w:hAnsi="Times New Roman" w:cs="Times New Roman"/>
          <w:color w:val="0D0D0D" w:themeColor="text1" w:themeTint="F2"/>
          <w:sz w:val="24"/>
          <w:szCs w:val="24"/>
        </w:rPr>
        <w:t>beringei</w:t>
      </w:r>
      <w:proofErr w:type="spellEnd"/>
      <w:r w:rsidRPr="005C72A4">
        <w:rPr>
          <w:rFonts w:ascii="Times New Roman" w:eastAsia="SimSun" w:hAnsi="Times New Roman" w:cs="Times New Roman"/>
          <w:color w:val="0D0D0D" w:themeColor="text1" w:themeTint="F2"/>
          <w:sz w:val="24"/>
          <w:szCs w:val="24"/>
        </w:rPr>
        <w:t xml:space="preserve"> </w:t>
      </w:r>
      <w:proofErr w:type="spellStart"/>
      <w:r w:rsidRPr="005C72A4">
        <w:rPr>
          <w:rFonts w:ascii="Times New Roman" w:eastAsia="SimSun" w:hAnsi="Times New Roman" w:cs="Times New Roman"/>
          <w:color w:val="0D0D0D" w:themeColor="text1" w:themeTint="F2"/>
          <w:sz w:val="24"/>
          <w:szCs w:val="24"/>
        </w:rPr>
        <w:t>beringei</w:t>
      </w:r>
      <w:proofErr w:type="spellEnd"/>
      <w:r w:rsidRPr="005C72A4">
        <w:rPr>
          <w:rFonts w:ascii="Times New Roman" w:eastAsia="SimSun" w:hAnsi="Times New Roman" w:cs="Times New Roman"/>
          <w:color w:val="0D0D0D" w:themeColor="text1" w:themeTint="F2"/>
          <w:sz w:val="24"/>
          <w:szCs w:val="24"/>
        </w:rPr>
        <w:t xml:space="preserve">), and the first NP that was created on the African continent, currently dislocated into three NPs Virunga National Park, Volcanoes National Park, and </w:t>
      </w:r>
      <w:proofErr w:type="spellStart"/>
      <w:r w:rsidRPr="005C72A4">
        <w:rPr>
          <w:rFonts w:ascii="Times New Roman" w:eastAsia="SimSun" w:hAnsi="Times New Roman" w:cs="Times New Roman"/>
          <w:color w:val="0D0D0D" w:themeColor="text1" w:themeTint="F2"/>
          <w:sz w:val="24"/>
          <w:szCs w:val="24"/>
        </w:rPr>
        <w:t>Mgahinga</w:t>
      </w:r>
      <w:proofErr w:type="spellEnd"/>
      <w:r w:rsidRPr="005C72A4">
        <w:rPr>
          <w:rFonts w:ascii="Times New Roman" w:eastAsia="SimSun" w:hAnsi="Times New Roman" w:cs="Times New Roman"/>
          <w:color w:val="0D0D0D" w:themeColor="text1" w:themeTint="F2"/>
          <w:sz w:val="24"/>
          <w:szCs w:val="24"/>
        </w:rPr>
        <w:t xml:space="preserve"> Gorilla National Park, respectively belonging to three neighbouring countries, Democratic Republic of Congo (DRC), Rwanda, and Uganda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ADDIN CSL_CITATION {"citationItems":[{"id":"ITEM-1","itemData":{"DOI":"10.1111/cobi.13728","ISSN":"15231739","PMID":"33751669","abstract":"Arbitrary modeling choices are inevitable in scientific studies. Yet, few empirical studies in conservation science report the effects these arbitrary choices have on estimated results. I explored the effects of subjective modeling choices in the context of counterfactual impact evaluations. Over 5000 candidate models based on reasonable changes in the choice of statistical matching algorithms (e.g., genetic and nearest distance mahalanobis matching), the parametrization of these algorithms (e.g., number of matches), and the inclusion of specific covariates (e.g., distance to nearest city, slope, or rainfall) were valid for studying the effect of Virunga National Park in Democratic Republic of the Congo on changes in tree cover loss and carbon storage over time. I randomly picked 2000 of the 5000 candidate models to determine how much and which subjective modeling choices affected the results the most. All valid models indicated that tree cover loss decreased and carbon storage increased in Virunga National Park from 2000 to 2019. Nonetheless, the order of magnitude of the estimates varied by a factor of 3 (from −4.78 to −13.12 percentage points decrease in tree cover loss and from 20 to 46 t Ce/ha for carbon storage). My results highlight that modeling choices, notably the choice of the matching algorithm, can have significant effects on point estimates and suggest that more structured robustness checks are a key step toward more credible findings in conservation science.","author":[{"dropping-particle":"","family":"Desbureaux","given":"Sébastien","non-dropping-particle":"","parse-names":false,"suffix":""}],"container-title":"Conservation Biology","id":"ITEM-1","issue":"5","issued":{"date-parts":[["2021"]]},"page":"1615-1626","title":"Subjective modeling choices and the robustness of impact evaluations in conservation science","type":"article-journal","volume":"35"},"uris":["http://www.mendeley.com/documents/?uuid=d15513d4-aeec-4a26-89ad-2a495b73c01b"]}],"mendeley":{"formattedCitation":"(Desbureaux, 2021)","plainTextFormattedCitation":"(Desbureaux, 2021)","previouslyFormattedCitation":"(Desbureaux, 2021)"},"properties":{"noteIndex":0},"schema":"https://github.com/citation-style-language/schema/raw/master/csl-citation.json"}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(Desbureaux, 2021)</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 Today, almost a century ago, after the establishment of the first NP in these three countries, a model that has been borrowed directly from the USA, t</w:t>
      </w:r>
      <w:r w:rsidRPr="005C72A4">
        <w:rPr>
          <w:rFonts w:ascii="Times New Roman" w:hAnsi="Times New Roman" w:cs="Times New Roman"/>
          <w:color w:val="000000" w:themeColor="text1"/>
          <w:sz w:val="24"/>
          <w:szCs w:val="24"/>
          <w:shd w:val="clear" w:color="auto" w:fill="FFFFFF"/>
        </w:rPr>
        <w:t xml:space="preserve">he wide contrast in human development index between </w:t>
      </w:r>
      <w:bookmarkStart w:id="2" w:name="_Hlk117465801"/>
      <w:r w:rsidRPr="005C72A4">
        <w:rPr>
          <w:rFonts w:ascii="Times New Roman" w:hAnsi="Times New Roman" w:cs="Times New Roman"/>
          <w:color w:val="000000" w:themeColor="text1"/>
          <w:sz w:val="24"/>
          <w:szCs w:val="24"/>
          <w:shd w:val="clear" w:color="auto" w:fill="FFFFFF"/>
        </w:rPr>
        <w:t xml:space="preserve">DRC, Rwanda, Uganda, and the USA </w:t>
      </w:r>
      <w:bookmarkEnd w:id="2"/>
      <w:r w:rsidRPr="005C72A4">
        <w:rPr>
          <w:rFonts w:ascii="Times New Roman" w:hAnsi="Times New Roman" w:cs="Times New Roman"/>
          <w:color w:val="000000" w:themeColor="text1"/>
          <w:sz w:val="24"/>
          <w:szCs w:val="24"/>
          <w:shd w:val="clear" w:color="auto" w:fill="FFFFFF"/>
        </w:rPr>
        <w:t xml:space="preserve">respectively ranking 179th, 165th, 166th, and 21st out of 191 countries in the 2021 U.N.’s Human Development Index </w:t>
      </w:r>
      <w:r w:rsidRPr="005C72A4">
        <w:rPr>
          <w:rFonts w:ascii="Times New Roman" w:hAnsi="Times New Roman" w:cs="Times New Roman"/>
          <w:color w:val="000000" w:themeColor="text1"/>
          <w:sz w:val="24"/>
          <w:szCs w:val="24"/>
          <w:shd w:val="clear" w:color="auto" w:fill="FFFFFF"/>
        </w:rPr>
        <w:fldChar w:fldCharType="begin" w:fldLock="1"/>
      </w:r>
      <w:r w:rsidRPr="005C72A4">
        <w:rPr>
          <w:rFonts w:ascii="Times New Roman" w:hAnsi="Times New Roman" w:cs="Times New Roman"/>
          <w:color w:val="000000" w:themeColor="text1"/>
          <w:sz w:val="24"/>
          <w:szCs w:val="24"/>
          <w:shd w:val="clear" w:color="auto" w:fill="FFFFFF"/>
        </w:rPr>
        <w:instrText>ADDIN CSL_CITATION {"citationItems":[{"id":"ITEM-1","itemData":{"ISBN":"9789211264517","author":[{"dropping-particle":"","family":"United Nations Development Programme","given":"","non-dropping-particle":"","parse-names":false,"suffix":""}],"id":"ITEM-1","issued":{"date-parts":[["2022"]]},"title":"Human development report 2021/2022","type":"book"},"uris":["http://www.mendeley.com/documents/?uuid=c8f01f0f-fd33-4a39-b862-e0c2e11c7aa5"]}],"mendeley":{"formattedCitation":"(United Nations Development Programme, 2022)","plainTextFormattedCitation":"(United Nations Development Programme, 2022)","previouslyFormattedCitation":"(United Nations Development Programme, 2022)"},"properties":{"noteIndex":0},"schema":"https://github.com/citation-style-language/schema/raw/master/csl-citation.json"}</w:instrText>
      </w:r>
      <w:r w:rsidRPr="005C72A4">
        <w:rPr>
          <w:rFonts w:ascii="Times New Roman" w:hAnsi="Times New Roman" w:cs="Times New Roman"/>
          <w:color w:val="000000" w:themeColor="text1"/>
          <w:sz w:val="24"/>
          <w:szCs w:val="24"/>
          <w:shd w:val="clear" w:color="auto" w:fill="FFFFFF"/>
        </w:rPr>
        <w:fldChar w:fldCharType="separate"/>
      </w:r>
      <w:r w:rsidRPr="005C72A4">
        <w:rPr>
          <w:rFonts w:ascii="Times New Roman" w:hAnsi="Times New Roman" w:cs="Times New Roman"/>
          <w:noProof/>
          <w:color w:val="000000" w:themeColor="text1"/>
          <w:sz w:val="24"/>
          <w:szCs w:val="24"/>
          <w:shd w:val="clear" w:color="auto" w:fill="FFFFFF"/>
        </w:rPr>
        <w:t>(United Nations Development Programme, 2022)</w:t>
      </w:r>
      <w:r w:rsidRPr="005C72A4">
        <w:rPr>
          <w:rFonts w:ascii="Times New Roman" w:hAnsi="Times New Roman" w:cs="Times New Roman"/>
          <w:color w:val="000000" w:themeColor="text1"/>
          <w:sz w:val="24"/>
          <w:szCs w:val="24"/>
          <w:shd w:val="clear" w:color="auto" w:fill="FFFFFF"/>
        </w:rPr>
        <w:fldChar w:fldCharType="end"/>
      </w:r>
      <w:r w:rsidRPr="005C72A4">
        <w:rPr>
          <w:rFonts w:ascii="Times New Roman" w:hAnsi="Times New Roman" w:cs="Times New Roman"/>
          <w:color w:val="000000" w:themeColor="text1"/>
          <w:sz w:val="24"/>
          <w:szCs w:val="24"/>
          <w:shd w:val="clear" w:color="auto" w:fill="FFFFFF"/>
        </w:rPr>
        <w:t xml:space="preserve"> cannot alone explain the gap between conservation </w:t>
      </w:r>
      <w:r w:rsidR="004A0D1A" w:rsidRPr="005C72A4">
        <w:rPr>
          <w:rFonts w:ascii="Times New Roman" w:hAnsi="Times New Roman" w:cs="Times New Roman"/>
          <w:color w:val="000000" w:themeColor="text1"/>
          <w:sz w:val="24"/>
          <w:szCs w:val="24"/>
          <w:shd w:val="clear" w:color="auto" w:fill="FFFFFF"/>
        </w:rPr>
        <w:t>achievements</w:t>
      </w:r>
      <w:r w:rsidRPr="005C72A4">
        <w:rPr>
          <w:rFonts w:ascii="Times New Roman" w:hAnsi="Times New Roman" w:cs="Times New Roman"/>
          <w:color w:val="000000" w:themeColor="text1"/>
          <w:sz w:val="24"/>
          <w:szCs w:val="24"/>
          <w:shd w:val="clear" w:color="auto" w:fill="FFFFFF"/>
        </w:rPr>
        <w:t xml:space="preserve"> </w:t>
      </w:r>
      <w:r w:rsidR="004A0D1A" w:rsidRPr="005C72A4">
        <w:rPr>
          <w:rFonts w:ascii="Times New Roman" w:hAnsi="Times New Roman" w:cs="Times New Roman"/>
          <w:color w:val="000000" w:themeColor="text1"/>
          <w:sz w:val="24"/>
          <w:szCs w:val="24"/>
          <w:shd w:val="clear" w:color="auto" w:fill="FFFFFF"/>
        </w:rPr>
        <w:t>of</w:t>
      </w:r>
      <w:r w:rsidRPr="005C72A4">
        <w:rPr>
          <w:rFonts w:ascii="Times New Roman" w:hAnsi="Times New Roman" w:cs="Times New Roman"/>
          <w:color w:val="000000" w:themeColor="text1"/>
          <w:sz w:val="24"/>
          <w:szCs w:val="24"/>
          <w:shd w:val="clear" w:color="auto" w:fill="FFFFFF"/>
        </w:rPr>
        <w:t xml:space="preserve"> the USA </w:t>
      </w:r>
      <w:r w:rsidR="004A0D1A" w:rsidRPr="005C72A4">
        <w:rPr>
          <w:rFonts w:ascii="Times New Roman" w:hAnsi="Times New Roman" w:cs="Times New Roman"/>
          <w:color w:val="000000" w:themeColor="text1"/>
          <w:sz w:val="24"/>
          <w:szCs w:val="24"/>
          <w:shd w:val="clear" w:color="auto" w:fill="FFFFFF"/>
        </w:rPr>
        <w:t xml:space="preserve">NPs system and those of </w:t>
      </w:r>
      <w:r w:rsidRPr="005C72A4">
        <w:rPr>
          <w:rFonts w:ascii="Times New Roman" w:hAnsi="Times New Roman" w:cs="Times New Roman"/>
          <w:color w:val="000000" w:themeColor="text1"/>
          <w:sz w:val="24"/>
          <w:szCs w:val="24"/>
          <w:shd w:val="clear" w:color="auto" w:fill="FFFFFF"/>
        </w:rPr>
        <w:t>DRC, Rwanda, and Uganda</w:t>
      </w:r>
      <w:r w:rsidR="004A0D1A" w:rsidRPr="005C72A4">
        <w:rPr>
          <w:rFonts w:ascii="Times New Roman" w:hAnsi="Times New Roman" w:cs="Times New Roman"/>
          <w:color w:val="000000" w:themeColor="text1"/>
          <w:sz w:val="24"/>
          <w:szCs w:val="24"/>
          <w:shd w:val="clear" w:color="auto" w:fill="FFFFFF"/>
        </w:rPr>
        <w:t>’s PAs systems</w:t>
      </w:r>
      <w:r w:rsidRPr="005C72A4">
        <w:rPr>
          <w:rFonts w:ascii="Times New Roman" w:hAnsi="Times New Roman" w:cs="Times New Roman"/>
          <w:color w:val="000000" w:themeColor="text1"/>
          <w:sz w:val="24"/>
          <w:szCs w:val="24"/>
          <w:shd w:val="clear" w:color="auto" w:fill="FFFFFF"/>
        </w:rPr>
        <w:t>.</w:t>
      </w:r>
      <w:r w:rsidRPr="005C72A4">
        <w:rPr>
          <w:rFonts w:ascii="Times New Roman" w:eastAsia="SimSun" w:hAnsi="Times New Roman" w:cs="Times New Roman"/>
          <w:color w:val="0D0D0D" w:themeColor="text1" w:themeTint="F2"/>
          <w:sz w:val="24"/>
          <w:szCs w:val="24"/>
        </w:rPr>
        <w:t xml:space="preserve"> If we are to take a few examples, the USA is the only country among the 4 to have recorded an increase in national forest coverage, between 1990 and 2020 the variation in forest coverage has been recorded to be 66.4-55.6% for DRC, 12.8-11.2% for Rwanda, 17.9-11.7% for Uganda, and 33.0-33.9% for the USA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ADDIN CSL_CITATION {"citationItems":[{"id":"ITEM-1","itemData":{"URL":"https://data.worldbank.org/indicator/AG.LND.FRST.ZS","accessed":{"date-parts":[["2022","11","13"]]},"author":[{"dropping-particle":"","family":"World Bank","given":"","non-dropping-particle":"","parse-names":false,"suffix":""}],"id":"ITEM-1","issued":{"date-parts":[["2022"]]},"title":"Forest area data","type":"webpage"},"uris":["http://www.mendeley.com/documents/?uuid=f85b623f-da6f-36b2-97c0-68a9beb33966"]}],"mendeley":{"formattedCitation":"(World Bank, 2022)","plainTextFormattedCitation":"(World Bank, 2022)","previouslyFormattedCitation":"(World Bank, 2022)"},"properties":{"noteIndex":0},"schema":"https://github.com/citation-style-language/schema/raw/master/csl-citation.json"}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(World Bank, 2022)</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 xml:space="preserve">. The USA has the highest number of UNESCO World Heritage Sites among the four countries, </w:t>
      </w:r>
      <w:bookmarkStart w:id="3" w:name="_Hlk117473841"/>
      <w:r w:rsidR="004A0D1A" w:rsidRPr="005C72A4">
        <w:rPr>
          <w:rFonts w:ascii="Times New Roman" w:eastAsia="SimSun" w:hAnsi="Times New Roman" w:cs="Times New Roman"/>
          <w:color w:val="0D0D0D" w:themeColor="text1" w:themeTint="F2"/>
          <w:sz w:val="24"/>
          <w:szCs w:val="24"/>
        </w:rPr>
        <w:t>with</w:t>
      </w:r>
      <w:r w:rsidRPr="005C72A4">
        <w:rPr>
          <w:rFonts w:ascii="Times New Roman" w:eastAsia="SimSun" w:hAnsi="Times New Roman" w:cs="Times New Roman"/>
          <w:color w:val="0D0D0D" w:themeColor="text1" w:themeTint="F2"/>
          <w:sz w:val="24"/>
          <w:szCs w:val="24"/>
        </w:rPr>
        <w:t xml:space="preserve"> </w:t>
      </w:r>
      <w:r w:rsidRPr="005C72A4">
        <w:rPr>
          <w:rFonts w:ascii="Times New Roman" w:hAnsi="Times New Roman" w:cs="Times New Roman"/>
          <w:color w:val="000000" w:themeColor="text1"/>
          <w:sz w:val="24"/>
          <w:szCs w:val="24"/>
          <w:shd w:val="clear" w:color="auto" w:fill="FFFFFF"/>
        </w:rPr>
        <w:t xml:space="preserve">DRC, Rwanda, Uganda, and the USA respectively </w:t>
      </w:r>
      <w:bookmarkEnd w:id="3"/>
      <w:r w:rsidR="004A0D1A" w:rsidRPr="005C72A4">
        <w:rPr>
          <w:rFonts w:ascii="Times New Roman" w:hAnsi="Times New Roman" w:cs="Times New Roman"/>
          <w:color w:val="000000" w:themeColor="text1"/>
          <w:sz w:val="24"/>
          <w:szCs w:val="24"/>
          <w:shd w:val="clear" w:color="auto" w:fill="FFFFFF"/>
        </w:rPr>
        <w:t xml:space="preserve">having </w:t>
      </w:r>
      <w:r w:rsidRPr="005C72A4">
        <w:rPr>
          <w:rFonts w:ascii="Times New Roman" w:hAnsi="Times New Roman" w:cs="Times New Roman"/>
          <w:color w:val="000000" w:themeColor="text1"/>
          <w:sz w:val="24"/>
          <w:szCs w:val="24"/>
          <w:shd w:val="clear" w:color="auto" w:fill="FFFFFF"/>
        </w:rPr>
        <w:t xml:space="preserve">5, 0, 3, and 24 UNESCO World Heritage Sites, furthermore, 80% of DRC’s, 33% of Uganda’s and only 4% of USA’s World Heritage Sites are </w:t>
      </w:r>
      <w:r w:rsidRPr="005C72A4">
        <w:rPr>
          <w:rFonts w:ascii="Times New Roman" w:hAnsi="Times New Roman" w:cs="Times New Roman"/>
          <w:color w:val="212121"/>
          <w:sz w:val="24"/>
          <w:szCs w:val="24"/>
          <w:shd w:val="clear" w:color="auto" w:fill="FFFFFF"/>
        </w:rPr>
        <w:t xml:space="preserve">in Danger </w:t>
      </w:r>
      <w:r w:rsidRPr="005C72A4">
        <w:rPr>
          <w:rFonts w:ascii="Times New Roman" w:hAnsi="Times New Roman" w:cs="Times New Roman"/>
          <w:color w:val="212121"/>
          <w:sz w:val="24"/>
          <w:szCs w:val="24"/>
          <w:shd w:val="clear" w:color="auto" w:fill="FFFFFF"/>
        </w:rPr>
        <w:lastRenderedPageBreak/>
        <w:fldChar w:fldCharType="begin" w:fldLock="1"/>
      </w:r>
      <w:r w:rsidRPr="005C72A4">
        <w:rPr>
          <w:rFonts w:ascii="Times New Roman" w:hAnsi="Times New Roman" w:cs="Times New Roman"/>
          <w:color w:val="212121"/>
          <w:sz w:val="24"/>
          <w:szCs w:val="24"/>
          <w:shd w:val="clear" w:color="auto" w:fill="FFFFFF"/>
        </w:rPr>
        <w:instrText>ADDIN CSL_CITATION {"citationItems":[{"id":"ITEM-1","itemData":{"URL":"https://whc.unesco.org/en/list/&amp;search=&amp;searchSites=&amp;search_by_country=&amp;search_yearinscribed=&amp;themes=&amp;criteria_restrication=&amp;media=&amp;description=&amp;order=country","accessed":{"date-parts":[["2022","11","12"]]},"author":[{"dropping-particle":"","family":"UNESCO WHC","given":"","non-dropping-particle":"","parse-names":false,"suffix":""}],"id":"ITEM-1","issued":{"date-parts":[["2022"]]},"title":"UNESCO World Heritage Centre - World Heritage List","type":"webpage"},"uris":["http://www.mendeley.com/documents/?uuid=ffa1a0d6-fe25-3458-8d8e-5af6d231fc2e"]}],"mendeley":{"formattedCitation":"(UNESCO WHC, 2022)","plainTextFormattedCitation":"(UNESCO WHC, 2022)","previouslyFormattedCitation":"(UNESCO WHC, 2022)"},"properties":{"noteIndex":0},"schema":"https://github.com/citation-style-language/schema/raw/master/csl-citation.json"}</w:instrText>
      </w:r>
      <w:r w:rsidRPr="005C72A4">
        <w:rPr>
          <w:rFonts w:ascii="Times New Roman" w:hAnsi="Times New Roman" w:cs="Times New Roman"/>
          <w:color w:val="212121"/>
          <w:sz w:val="24"/>
          <w:szCs w:val="24"/>
          <w:shd w:val="clear" w:color="auto" w:fill="FFFFFF"/>
        </w:rPr>
        <w:fldChar w:fldCharType="separate"/>
      </w:r>
      <w:r w:rsidRPr="005C72A4">
        <w:rPr>
          <w:rFonts w:ascii="Times New Roman" w:hAnsi="Times New Roman" w:cs="Times New Roman"/>
          <w:noProof/>
          <w:color w:val="212121"/>
          <w:sz w:val="24"/>
          <w:szCs w:val="24"/>
          <w:shd w:val="clear" w:color="auto" w:fill="FFFFFF"/>
        </w:rPr>
        <w:t>(UNESCO WHC, 2022)</w:t>
      </w:r>
      <w:r w:rsidRPr="005C72A4">
        <w:rPr>
          <w:rFonts w:ascii="Times New Roman" w:hAnsi="Times New Roman" w:cs="Times New Roman"/>
          <w:color w:val="212121"/>
          <w:sz w:val="24"/>
          <w:szCs w:val="24"/>
          <w:shd w:val="clear" w:color="auto" w:fill="FFFFFF"/>
        </w:rPr>
        <w:fldChar w:fldCharType="end"/>
      </w:r>
      <w:r w:rsidRPr="005C72A4">
        <w:rPr>
          <w:rFonts w:ascii="Times New Roman" w:hAnsi="Times New Roman" w:cs="Times New Roman"/>
          <w:color w:val="000000" w:themeColor="text1"/>
          <w:sz w:val="24"/>
          <w:szCs w:val="24"/>
          <w:shd w:val="clear" w:color="auto" w:fill="FFFFFF"/>
        </w:rPr>
        <w:t>.</w:t>
      </w:r>
      <w:r w:rsidRPr="005C72A4">
        <w:rPr>
          <w:rFonts w:ascii="Times New Roman" w:eastAsia="SimSun" w:hAnsi="Times New Roman" w:cs="Times New Roman"/>
          <w:color w:val="0D0D0D" w:themeColor="text1" w:themeTint="F2"/>
          <w:sz w:val="24"/>
          <w:szCs w:val="24"/>
        </w:rPr>
        <w:t xml:space="preserve"> The USA </w:t>
      </w:r>
      <w:r w:rsidR="00BC3879" w:rsidRPr="005C72A4">
        <w:rPr>
          <w:rFonts w:ascii="Times New Roman" w:eastAsia="SimSun" w:hAnsi="Times New Roman" w:cs="Times New Roman"/>
          <w:color w:val="0D0D0D" w:themeColor="text1" w:themeTint="F2"/>
          <w:sz w:val="24"/>
          <w:szCs w:val="24"/>
        </w:rPr>
        <w:t>holds the position of the biggest global economy in the travel and tourism sector.</w:t>
      </w:r>
      <w:r w:rsidRPr="005C72A4">
        <w:rPr>
          <w:rFonts w:ascii="Times New Roman" w:eastAsia="SimSun" w:hAnsi="Times New Roman" w:cs="Times New Roman"/>
          <w:color w:val="0D0D0D" w:themeColor="text1" w:themeTint="F2"/>
          <w:sz w:val="24"/>
          <w:szCs w:val="24"/>
        </w:rPr>
        <w:t xml:space="preserve"> The Total contribution of Travel &amp; Tourism to the national GDP of DRC, Rwanda, Uganda, and the USA is respectively USD 853.4 million (1.4%); USD 733.7 million (6.8%); USD 1,790.6 million (4.2%); USD 1,271.2 billion (5.5%) </w:t>
      </w:r>
      <w:r w:rsidRPr="005C72A4">
        <w:rPr>
          <w:rFonts w:ascii="Times New Roman" w:eastAsia="SimSun" w:hAnsi="Times New Roman" w:cs="Times New Roman"/>
          <w:color w:val="0D0D0D" w:themeColor="text1" w:themeTint="F2"/>
          <w:sz w:val="24"/>
          <w:szCs w:val="24"/>
        </w:rPr>
        <w:fldChar w:fldCharType="begin" w:fldLock="1"/>
      </w:r>
      <w:r w:rsidRPr="005C72A4">
        <w:rPr>
          <w:rFonts w:ascii="Times New Roman" w:eastAsia="SimSun" w:hAnsi="Times New Roman" w:cs="Times New Roman"/>
          <w:color w:val="0D0D0D" w:themeColor="text1" w:themeTint="F2"/>
          <w:sz w:val="24"/>
          <w:szCs w:val="24"/>
        </w:rPr>
        <w:instrText>ADDIN CSL_CITATION {"citationItems":[{"id":"ITEM-1","itemData":{"URL":"https://wttc.org/research/economic-impact","accessed":{"date-parts":[["2022","11","12"]]},"author":[{"dropping-particle":"","family":"WTTC","given":"","non-dropping-particle":"","parse-names":false,"suffix":""}],"id":"ITEM-1","issued":{"date-parts":[["2022"]]},"title":"Travel &amp; Tourism Economic Impact | World Travel &amp; Tourism Council (WTTC)","type":"webpage"},"uris":["http://www.mendeley.com/documents/?uuid=a786e412-7e69-3d6e-abf7-207783637dc8"]}],"mendeley":{"formattedCitation":"(WTTC, 2022)","plainTextFormattedCitation":"(WTTC, 2022)","previouslyFormattedCitation":"(WTTC, 2022)"},"properties":{"noteIndex":0},"schema":"https://github.com/citation-style-language/schema/raw/master/csl-citation.json"}</w:instrText>
      </w:r>
      <w:r w:rsidRPr="005C72A4">
        <w:rPr>
          <w:rFonts w:ascii="Times New Roman" w:eastAsia="SimSun" w:hAnsi="Times New Roman" w:cs="Times New Roman"/>
          <w:color w:val="0D0D0D" w:themeColor="text1" w:themeTint="F2"/>
          <w:sz w:val="24"/>
          <w:szCs w:val="24"/>
        </w:rPr>
        <w:fldChar w:fldCharType="separate"/>
      </w:r>
      <w:r w:rsidRPr="005C72A4">
        <w:rPr>
          <w:rFonts w:ascii="Times New Roman" w:eastAsia="SimSun" w:hAnsi="Times New Roman" w:cs="Times New Roman"/>
          <w:noProof/>
          <w:color w:val="0D0D0D" w:themeColor="text1" w:themeTint="F2"/>
          <w:sz w:val="24"/>
          <w:szCs w:val="24"/>
        </w:rPr>
        <w:t>(WTTC, 2022)</w:t>
      </w:r>
      <w:r w:rsidRPr="005C72A4">
        <w:rPr>
          <w:rFonts w:ascii="Times New Roman" w:eastAsia="SimSun" w:hAnsi="Times New Roman" w:cs="Times New Roman"/>
          <w:color w:val="0D0D0D" w:themeColor="text1" w:themeTint="F2"/>
          <w:sz w:val="24"/>
          <w:szCs w:val="24"/>
        </w:rPr>
        <w:fldChar w:fldCharType="end"/>
      </w:r>
      <w:r w:rsidRPr="005C72A4">
        <w:rPr>
          <w:rFonts w:ascii="Times New Roman" w:eastAsia="SimSun" w:hAnsi="Times New Roman" w:cs="Times New Roman"/>
          <w:color w:val="0D0D0D" w:themeColor="text1" w:themeTint="F2"/>
          <w:sz w:val="24"/>
          <w:szCs w:val="24"/>
        </w:rPr>
        <w:t xml:space="preserve">. Hence, the size of the USA </w:t>
      </w:r>
      <w:r w:rsidRPr="005C72A4">
        <w:rPr>
          <w:rFonts w:ascii="Times New Roman" w:eastAsia="SimSun" w:hAnsi="Times New Roman" w:cs="Times New Roman" w:hint="eastAsia"/>
          <w:color w:val="0D0D0D" w:themeColor="text1" w:themeTint="F2"/>
          <w:sz w:val="24"/>
          <w:szCs w:val="24"/>
        </w:rPr>
        <w:t>(9,834,000km</w:t>
      </w:r>
      <w:r w:rsidRPr="005C72A4">
        <w:rPr>
          <w:rFonts w:ascii="Times New Roman" w:eastAsia="SimSun" w:hAnsi="Times New Roman" w:cs="Times New Roman" w:hint="eastAsia"/>
          <w:color w:val="0D0D0D" w:themeColor="text1" w:themeTint="F2"/>
          <w:sz w:val="24"/>
          <w:szCs w:val="24"/>
        </w:rPr>
        <w:t>²</w:t>
      </w:r>
      <w:r w:rsidRPr="005C72A4">
        <w:rPr>
          <w:rFonts w:ascii="Times New Roman" w:eastAsia="SimSun" w:hAnsi="Times New Roman" w:cs="Times New Roman" w:hint="eastAsia"/>
          <w:color w:val="0D0D0D" w:themeColor="text1" w:themeTint="F2"/>
          <w:sz w:val="24"/>
          <w:szCs w:val="24"/>
        </w:rPr>
        <w:t xml:space="preserve">) </w:t>
      </w:r>
      <w:r w:rsidRPr="005C72A4">
        <w:rPr>
          <w:rFonts w:ascii="Times New Roman" w:eastAsia="SimSun" w:hAnsi="Times New Roman" w:cs="Times New Roman"/>
          <w:color w:val="0D0D0D" w:themeColor="text1" w:themeTint="F2"/>
          <w:sz w:val="24"/>
          <w:szCs w:val="24"/>
        </w:rPr>
        <w:t>is respectively 4, 41, and 373 times bigger than that of DRC (2,345,409 km</w:t>
      </w:r>
      <w:r w:rsidRPr="005C72A4">
        <w:rPr>
          <w:rFonts w:ascii="Times New Roman" w:eastAsia="SimSun" w:hAnsi="Times New Roman" w:cs="Times New Roman"/>
          <w:color w:val="0D0D0D" w:themeColor="text1" w:themeTint="F2"/>
          <w:sz w:val="24"/>
          <w:szCs w:val="24"/>
          <w:vertAlign w:val="superscript"/>
        </w:rPr>
        <w:t>2</w:t>
      </w:r>
      <w:r w:rsidRPr="005C72A4">
        <w:rPr>
          <w:rFonts w:ascii="Times New Roman" w:eastAsia="SimSun" w:hAnsi="Times New Roman" w:cs="Times New Roman"/>
          <w:color w:val="0D0D0D" w:themeColor="text1" w:themeTint="F2"/>
          <w:sz w:val="24"/>
          <w:szCs w:val="24"/>
        </w:rPr>
        <w:t>), Uganda (241,038 km</w:t>
      </w:r>
      <w:r w:rsidRPr="005C72A4">
        <w:rPr>
          <w:rFonts w:ascii="Times New Roman" w:eastAsia="SimSun" w:hAnsi="Times New Roman" w:cs="Times New Roman"/>
          <w:color w:val="0D0D0D" w:themeColor="text1" w:themeTint="F2"/>
          <w:sz w:val="24"/>
          <w:szCs w:val="24"/>
          <w:vertAlign w:val="superscript"/>
        </w:rPr>
        <w:t>2</w:t>
      </w:r>
      <w:r w:rsidRPr="005C72A4">
        <w:rPr>
          <w:rFonts w:ascii="Times New Roman" w:eastAsia="SimSun" w:hAnsi="Times New Roman" w:cs="Times New Roman"/>
          <w:color w:val="0D0D0D" w:themeColor="text1" w:themeTint="F2"/>
          <w:sz w:val="24"/>
          <w:szCs w:val="24"/>
        </w:rPr>
        <w:t xml:space="preserve">), and Rwanda (26,338 km²) but its travel and tourism sector </w:t>
      </w:r>
      <w:r w:rsidR="00554E12" w:rsidRPr="005C72A4">
        <w:rPr>
          <w:rFonts w:ascii="Times New Roman" w:eastAsia="SimSun" w:hAnsi="Times New Roman" w:cs="Times New Roman"/>
          <w:color w:val="0D0D0D" w:themeColor="text1" w:themeTint="F2"/>
          <w:sz w:val="24"/>
          <w:szCs w:val="24"/>
        </w:rPr>
        <w:t>contribute</w:t>
      </w:r>
      <w:r w:rsidRPr="005C72A4">
        <w:rPr>
          <w:rFonts w:ascii="Times New Roman" w:eastAsia="SimSun" w:hAnsi="Times New Roman" w:cs="Times New Roman"/>
          <w:color w:val="0D0D0D" w:themeColor="text1" w:themeTint="F2"/>
          <w:sz w:val="24"/>
          <w:szCs w:val="24"/>
        </w:rPr>
        <w:t xml:space="preserve"> 1489, 1733, and 710 times more than that of DRC, Uganda, and Rwanda.</w:t>
      </w:r>
    </w:p>
    <w:p w:rsidR="00D0319C" w:rsidRDefault="00F17E02" w:rsidP="00D0319C">
      <w:pPr>
        <w:spacing w:line="240" w:lineRule="auto"/>
        <w:rPr>
          <w:rFonts w:ascii="Times New Roman" w:eastAsia="SimSun" w:hAnsi="Times New Roman" w:cs="Times New Roman"/>
          <w:color w:val="0D0D0D" w:themeColor="text1" w:themeTint="F2"/>
          <w:sz w:val="24"/>
          <w:szCs w:val="24"/>
        </w:rPr>
      </w:pPr>
      <w:r w:rsidRPr="005C72A4">
        <w:rPr>
          <w:rFonts w:ascii="Times New Roman" w:eastAsia="SimSun" w:hAnsi="Times New Roman" w:cs="Times New Roman"/>
          <w:color w:val="0D0D0D" w:themeColor="text1" w:themeTint="F2"/>
          <w:sz w:val="24"/>
          <w:szCs w:val="24"/>
        </w:rPr>
        <w:t xml:space="preserve">This study evaluates the structure, evolution, strategies, and trend of the conservation systems in DRC, Rwanda, Uganda, and USA to compare, </w:t>
      </w:r>
      <w:r w:rsidR="001B4166" w:rsidRPr="005C72A4">
        <w:rPr>
          <w:rFonts w:ascii="Times New Roman" w:eastAsia="SimSun" w:hAnsi="Times New Roman" w:cs="Times New Roman"/>
          <w:color w:val="0D0D0D" w:themeColor="text1" w:themeTint="F2"/>
          <w:sz w:val="24"/>
          <w:szCs w:val="24"/>
        </w:rPr>
        <w:t>record</w:t>
      </w:r>
      <w:r w:rsidRPr="005C72A4">
        <w:rPr>
          <w:rFonts w:ascii="Times New Roman" w:eastAsia="SimSun" w:hAnsi="Times New Roman" w:cs="Times New Roman"/>
          <w:color w:val="0D0D0D" w:themeColor="text1" w:themeTint="F2"/>
          <w:sz w:val="24"/>
          <w:szCs w:val="24"/>
        </w:rPr>
        <w:t xml:space="preserve"> key differences</w:t>
      </w:r>
      <w:r w:rsidR="001B4166" w:rsidRPr="005C72A4">
        <w:rPr>
          <w:rFonts w:ascii="Times New Roman" w:eastAsia="SimSun" w:hAnsi="Times New Roman" w:cs="Times New Roman"/>
          <w:color w:val="0D0D0D" w:themeColor="text1" w:themeTint="F2"/>
          <w:sz w:val="24"/>
          <w:szCs w:val="24"/>
        </w:rPr>
        <w:t>,</w:t>
      </w:r>
      <w:r w:rsidRPr="005C72A4">
        <w:rPr>
          <w:rFonts w:ascii="Times New Roman" w:eastAsia="SimSun" w:hAnsi="Times New Roman" w:cs="Times New Roman"/>
          <w:color w:val="0D0D0D" w:themeColor="text1" w:themeTint="F2"/>
          <w:sz w:val="24"/>
          <w:szCs w:val="24"/>
        </w:rPr>
        <w:t xml:space="preserve"> and</w:t>
      </w:r>
      <w:r w:rsidR="001B4166" w:rsidRPr="005C72A4">
        <w:rPr>
          <w:rFonts w:ascii="Times New Roman" w:eastAsia="SimSun" w:hAnsi="Times New Roman" w:cs="Times New Roman"/>
          <w:color w:val="0D0D0D" w:themeColor="text1" w:themeTint="F2"/>
          <w:sz w:val="24"/>
          <w:szCs w:val="24"/>
        </w:rPr>
        <w:t xml:space="preserve"> potentially draw</w:t>
      </w:r>
      <w:r w:rsidRPr="005C72A4">
        <w:rPr>
          <w:rFonts w:ascii="Times New Roman" w:eastAsia="SimSun" w:hAnsi="Times New Roman" w:cs="Times New Roman"/>
          <w:color w:val="0D0D0D" w:themeColor="text1" w:themeTint="F2"/>
          <w:sz w:val="24"/>
          <w:szCs w:val="24"/>
        </w:rPr>
        <w:t xml:space="preserve"> lessons from the USA conservation system. This study undertakes this analysis under three pillars, policy, managing institutions, and PAs network. However, it only refers to only National-level State owned and managed areas and does not include PAs that belong to private owners or that are part of subnational PAs systems.</w:t>
      </w:r>
    </w:p>
    <w:p w:rsidR="00D0319C" w:rsidRPr="003E499A" w:rsidRDefault="00D0319C" w:rsidP="00D0319C">
      <w:pPr>
        <w:pStyle w:val="Heading1"/>
      </w:pPr>
      <w:bookmarkStart w:id="4" w:name="_Hlk114412214"/>
      <w:r>
        <w:t>Methods</w:t>
      </w:r>
    </w:p>
    <w:p w:rsidR="00D75EFB" w:rsidRPr="00553D8B" w:rsidRDefault="00D75EFB" w:rsidP="00D75EFB">
      <w:pPr>
        <w:pStyle w:val="Heading2"/>
      </w:pPr>
      <w:bookmarkStart w:id="5" w:name="_Hlk134977325"/>
      <w:r w:rsidRPr="00553D8B">
        <w:t>Legal and Policy environment</w:t>
      </w:r>
    </w:p>
    <w:bookmarkEnd w:id="5"/>
    <w:p w:rsidR="00D0319C" w:rsidRPr="005C72A4" w:rsidRDefault="00D0319C" w:rsidP="00F0456F">
      <w:pPr>
        <w:spacing w:line="240" w:lineRule="auto"/>
        <w:rPr>
          <w:rFonts w:ascii="Times New Roman" w:hAnsi="Times New Roman" w:cs="Times New Roman"/>
          <w:sz w:val="24"/>
          <w:szCs w:val="24"/>
        </w:rPr>
      </w:pPr>
      <w:r w:rsidRPr="005C72A4">
        <w:rPr>
          <w:rFonts w:ascii="Times New Roman" w:hAnsi="Times New Roman" w:cs="Times New Roman"/>
          <w:sz w:val="24"/>
          <w:szCs w:val="24"/>
        </w:rPr>
        <w:t>W</w:t>
      </w:r>
      <w:r w:rsidR="00423617" w:rsidRPr="005C72A4">
        <w:rPr>
          <w:rFonts w:ascii="Times New Roman" w:hAnsi="Times New Roman" w:cs="Times New Roman"/>
          <w:sz w:val="24"/>
          <w:szCs w:val="24"/>
        </w:rPr>
        <w:t>e have</w:t>
      </w:r>
      <w:r w:rsidRPr="005C72A4">
        <w:rPr>
          <w:rFonts w:ascii="Times New Roman" w:hAnsi="Times New Roman" w:cs="Times New Roman"/>
          <w:sz w:val="24"/>
          <w:szCs w:val="24"/>
        </w:rPr>
        <w:t xml:space="preserve"> </w:t>
      </w:r>
      <w:r w:rsidR="00D75EFB" w:rsidRPr="005C72A4">
        <w:rPr>
          <w:rFonts w:ascii="Times New Roman" w:hAnsi="Times New Roman" w:cs="Times New Roman"/>
          <w:sz w:val="24"/>
          <w:szCs w:val="24"/>
        </w:rPr>
        <w:t>compiled</w:t>
      </w:r>
      <w:r w:rsidR="00EE28FD" w:rsidRPr="005C72A4">
        <w:rPr>
          <w:rFonts w:ascii="Times New Roman" w:hAnsi="Times New Roman" w:cs="Times New Roman"/>
          <w:sz w:val="24"/>
          <w:szCs w:val="24"/>
        </w:rPr>
        <w:t xml:space="preserve">, synthesised, and </w:t>
      </w:r>
      <w:r w:rsidR="00D75EFB" w:rsidRPr="005C72A4">
        <w:rPr>
          <w:rFonts w:ascii="Times New Roman" w:hAnsi="Times New Roman" w:cs="Times New Roman"/>
          <w:sz w:val="24"/>
          <w:szCs w:val="24"/>
        </w:rPr>
        <w:t xml:space="preserve">compared </w:t>
      </w:r>
      <w:r w:rsidR="00EE28FD" w:rsidRPr="005C72A4">
        <w:rPr>
          <w:rFonts w:ascii="Times New Roman" w:hAnsi="Times New Roman" w:cs="Times New Roman"/>
          <w:sz w:val="24"/>
          <w:szCs w:val="24"/>
        </w:rPr>
        <w:t xml:space="preserve">lists of </w:t>
      </w:r>
      <w:r w:rsidR="00D75EFB" w:rsidRPr="005C72A4">
        <w:rPr>
          <w:rFonts w:ascii="Times New Roman" w:hAnsi="Times New Roman" w:cs="Times New Roman"/>
          <w:sz w:val="24"/>
          <w:szCs w:val="24"/>
        </w:rPr>
        <w:t>the most rema</w:t>
      </w:r>
      <w:r w:rsidR="00EE28FD" w:rsidRPr="005C72A4">
        <w:rPr>
          <w:rFonts w:ascii="Times New Roman" w:hAnsi="Times New Roman" w:cs="Times New Roman"/>
          <w:sz w:val="24"/>
          <w:szCs w:val="24"/>
        </w:rPr>
        <w:t>rk</w:t>
      </w:r>
      <w:r w:rsidR="00D75EFB" w:rsidRPr="005C72A4">
        <w:rPr>
          <w:rFonts w:ascii="Times New Roman" w:hAnsi="Times New Roman" w:cs="Times New Roman"/>
          <w:sz w:val="24"/>
          <w:szCs w:val="24"/>
        </w:rPr>
        <w:t xml:space="preserve">able </w:t>
      </w:r>
      <w:r w:rsidR="00EE28FD" w:rsidRPr="005C72A4">
        <w:rPr>
          <w:rFonts w:ascii="Times New Roman" w:hAnsi="Times New Roman" w:cs="Times New Roman"/>
          <w:sz w:val="24"/>
          <w:szCs w:val="24"/>
        </w:rPr>
        <w:t xml:space="preserve">guiding documents in the conservation sector and related fields in the four countries. </w:t>
      </w:r>
      <w:r w:rsidR="008114A6" w:rsidRPr="005C72A4">
        <w:rPr>
          <w:rFonts w:ascii="Times New Roman" w:hAnsi="Times New Roman" w:cs="Times New Roman"/>
          <w:sz w:val="24"/>
          <w:szCs w:val="24"/>
        </w:rPr>
        <w:t xml:space="preserve">For each country we’ve contrasted </w:t>
      </w:r>
      <w:r w:rsidR="00BA4E6E" w:rsidRPr="005C72A4">
        <w:rPr>
          <w:rFonts w:ascii="Times New Roman" w:hAnsi="Times New Roman" w:cs="Times New Roman"/>
          <w:sz w:val="24"/>
          <w:szCs w:val="24"/>
        </w:rPr>
        <w:t xml:space="preserve">the different policy, strategy, and legal instruments against </w:t>
      </w:r>
      <w:r w:rsidRPr="005C72A4">
        <w:rPr>
          <w:rFonts w:ascii="Times New Roman" w:hAnsi="Times New Roman" w:cs="Times New Roman"/>
          <w:sz w:val="24"/>
          <w:szCs w:val="24"/>
        </w:rPr>
        <w:t xml:space="preserve">four </w:t>
      </w:r>
      <w:r w:rsidR="00F73C15" w:rsidRPr="005C72A4">
        <w:rPr>
          <w:rFonts w:ascii="Times New Roman" w:hAnsi="Times New Roman" w:cs="Times New Roman"/>
          <w:sz w:val="24"/>
          <w:szCs w:val="24"/>
        </w:rPr>
        <w:t xml:space="preserve">defined </w:t>
      </w:r>
      <w:r w:rsidRPr="005C72A4">
        <w:rPr>
          <w:rFonts w:ascii="Times New Roman" w:hAnsi="Times New Roman" w:cs="Times New Roman"/>
          <w:sz w:val="24"/>
          <w:szCs w:val="24"/>
        </w:rPr>
        <w:t xml:space="preserve">evaluation parameters: </w:t>
      </w:r>
      <w:bookmarkStart w:id="6" w:name="_Hlk134535736"/>
      <w:bookmarkStart w:id="7" w:name="_Hlk134534645"/>
      <w:r w:rsidR="00F0456F" w:rsidRPr="005C72A4">
        <w:rPr>
          <w:rFonts w:ascii="Times New Roman" w:hAnsi="Times New Roman" w:cs="Times New Roman"/>
          <w:sz w:val="24"/>
          <w:szCs w:val="24"/>
        </w:rPr>
        <w:t>Completeness</w:t>
      </w:r>
      <w:r w:rsidRPr="005C72A4">
        <w:rPr>
          <w:rFonts w:ascii="Times New Roman" w:hAnsi="Times New Roman" w:cs="Times New Roman"/>
          <w:sz w:val="24"/>
          <w:szCs w:val="24"/>
        </w:rPr>
        <w:t xml:space="preserve">, </w:t>
      </w:r>
      <w:bookmarkStart w:id="8" w:name="_Hlk134523714"/>
      <w:r w:rsidR="00507D6D" w:rsidRPr="005C72A4">
        <w:rPr>
          <w:rFonts w:ascii="Times New Roman" w:hAnsi="Times New Roman" w:cs="Times New Roman"/>
          <w:sz w:val="24"/>
          <w:szCs w:val="24"/>
        </w:rPr>
        <w:t>Repeal</w:t>
      </w:r>
      <w:r w:rsidRPr="005C72A4">
        <w:rPr>
          <w:rFonts w:ascii="Times New Roman" w:hAnsi="Times New Roman" w:cs="Times New Roman"/>
          <w:sz w:val="24"/>
          <w:szCs w:val="24"/>
        </w:rPr>
        <w:t>, Duplication, and Contradiction</w:t>
      </w:r>
      <w:bookmarkEnd w:id="6"/>
      <w:bookmarkEnd w:id="8"/>
      <w:r w:rsidRPr="005C72A4">
        <w:rPr>
          <w:rFonts w:ascii="Times New Roman" w:hAnsi="Times New Roman" w:cs="Times New Roman"/>
          <w:sz w:val="24"/>
          <w:szCs w:val="24"/>
        </w:rPr>
        <w:t xml:space="preserve"> </w:t>
      </w:r>
      <w:bookmarkEnd w:id="7"/>
      <w:r w:rsidRPr="005C72A4">
        <w:rPr>
          <w:rFonts w:ascii="Times New Roman" w:hAnsi="Times New Roman" w:cs="Times New Roman"/>
          <w:sz w:val="24"/>
          <w:szCs w:val="24"/>
        </w:rPr>
        <w:t>as a</w:t>
      </w:r>
      <w:r w:rsidR="00423617" w:rsidRPr="005C72A4">
        <w:rPr>
          <w:rFonts w:ascii="Times New Roman" w:hAnsi="Times New Roman" w:cs="Times New Roman"/>
          <w:sz w:val="24"/>
          <w:szCs w:val="24"/>
        </w:rPr>
        <w:t>n objective assessment of the four systems’ policy</w:t>
      </w:r>
      <w:r w:rsidRPr="005C72A4">
        <w:rPr>
          <w:rFonts w:ascii="Times New Roman" w:hAnsi="Times New Roman" w:cs="Times New Roman"/>
          <w:sz w:val="24"/>
          <w:szCs w:val="24"/>
        </w:rPr>
        <w:t xml:space="preserve"> effectiveness. The quantification of </w:t>
      </w:r>
      <w:r w:rsidR="009044A5" w:rsidRPr="005C72A4">
        <w:rPr>
          <w:rFonts w:ascii="Times New Roman" w:hAnsi="Times New Roman" w:cs="Times New Roman"/>
          <w:sz w:val="24"/>
          <w:szCs w:val="24"/>
        </w:rPr>
        <w:t>Comprehensiveness</w:t>
      </w:r>
      <w:r w:rsidR="00507D6D" w:rsidRPr="005C72A4">
        <w:rPr>
          <w:rFonts w:ascii="Times New Roman" w:hAnsi="Times New Roman" w:cs="Times New Roman"/>
          <w:sz w:val="24"/>
          <w:szCs w:val="24"/>
        </w:rPr>
        <w:t xml:space="preserve"> index</w:t>
      </w:r>
      <w:r w:rsidRPr="005C72A4">
        <w:rPr>
          <w:rFonts w:ascii="Times New Roman" w:hAnsi="Times New Roman" w:cs="Times New Roman"/>
          <w:sz w:val="24"/>
          <w:szCs w:val="24"/>
        </w:rPr>
        <w:t xml:space="preserve"> was estimated by categorizing different policy and legal instruments and qua</w:t>
      </w:r>
      <w:r w:rsidR="00423617" w:rsidRPr="005C72A4">
        <w:rPr>
          <w:rFonts w:ascii="Times New Roman" w:hAnsi="Times New Roman" w:cs="Times New Roman"/>
          <w:sz w:val="24"/>
          <w:szCs w:val="24"/>
        </w:rPr>
        <w:t>nti</w:t>
      </w:r>
      <w:r w:rsidRPr="005C72A4">
        <w:rPr>
          <w:rFonts w:ascii="Times New Roman" w:hAnsi="Times New Roman" w:cs="Times New Roman"/>
          <w:sz w:val="24"/>
          <w:szCs w:val="24"/>
        </w:rPr>
        <w:t xml:space="preserve">fying </w:t>
      </w:r>
      <w:r w:rsidR="00F73C15" w:rsidRPr="005C72A4">
        <w:rPr>
          <w:rFonts w:ascii="Times New Roman" w:hAnsi="Times New Roman" w:cs="Times New Roman"/>
          <w:sz w:val="24"/>
          <w:szCs w:val="24"/>
        </w:rPr>
        <w:t xml:space="preserve">the richness of </w:t>
      </w:r>
      <w:bookmarkStart w:id="9" w:name="_Hlk134459954"/>
      <w:r w:rsidR="00F73C15" w:rsidRPr="005C72A4">
        <w:rPr>
          <w:rFonts w:ascii="Times New Roman" w:hAnsi="Times New Roman" w:cs="Times New Roman"/>
          <w:sz w:val="24"/>
          <w:szCs w:val="24"/>
        </w:rPr>
        <w:t xml:space="preserve">unique specifications </w:t>
      </w:r>
      <w:r w:rsidR="0078202E" w:rsidRPr="005C72A4">
        <w:rPr>
          <w:rFonts w:ascii="Times New Roman" w:hAnsi="Times New Roman" w:cs="Times New Roman"/>
          <w:sz w:val="24"/>
          <w:szCs w:val="24"/>
        </w:rPr>
        <w:t>among</w:t>
      </w:r>
      <w:r w:rsidR="00F73C15" w:rsidRPr="005C72A4">
        <w:rPr>
          <w:rFonts w:ascii="Times New Roman" w:hAnsi="Times New Roman" w:cs="Times New Roman"/>
          <w:sz w:val="24"/>
          <w:szCs w:val="24"/>
        </w:rPr>
        <w:t xml:space="preserve"> each category</w:t>
      </w:r>
      <w:bookmarkEnd w:id="9"/>
      <w:r w:rsidR="00F73C15" w:rsidRPr="005C72A4">
        <w:rPr>
          <w:rFonts w:ascii="Times New Roman" w:hAnsi="Times New Roman" w:cs="Times New Roman"/>
          <w:sz w:val="24"/>
          <w:szCs w:val="24"/>
        </w:rPr>
        <w:t xml:space="preserve"> per</w:t>
      </w:r>
      <w:r w:rsidR="00BF2D5B" w:rsidRPr="005C72A4">
        <w:rPr>
          <w:rFonts w:ascii="Times New Roman" w:hAnsi="Times New Roman" w:cs="Times New Roman"/>
          <w:sz w:val="24"/>
          <w:szCs w:val="24"/>
        </w:rPr>
        <w:t xml:space="preserve"> </w:t>
      </w:r>
      <w:r w:rsidR="00F73C15" w:rsidRPr="005C72A4">
        <w:rPr>
          <w:rFonts w:ascii="Times New Roman" w:hAnsi="Times New Roman" w:cs="Times New Roman"/>
          <w:sz w:val="24"/>
          <w:szCs w:val="24"/>
        </w:rPr>
        <w:t xml:space="preserve">country compared to the total number of unique specifications </w:t>
      </w:r>
      <w:r w:rsidR="00E81CBC" w:rsidRPr="005C72A4">
        <w:rPr>
          <w:rFonts w:ascii="Times New Roman" w:hAnsi="Times New Roman" w:cs="Times New Roman"/>
          <w:sz w:val="24"/>
          <w:szCs w:val="24"/>
        </w:rPr>
        <w:t>among</w:t>
      </w:r>
      <w:r w:rsidR="00F73C15" w:rsidRPr="005C72A4">
        <w:rPr>
          <w:rFonts w:ascii="Times New Roman" w:hAnsi="Times New Roman" w:cs="Times New Roman"/>
          <w:sz w:val="24"/>
          <w:szCs w:val="24"/>
        </w:rPr>
        <w:t xml:space="preserve"> each category for all the four countries</w:t>
      </w:r>
      <w:r w:rsidR="0078202E" w:rsidRPr="005C72A4">
        <w:rPr>
          <w:rFonts w:ascii="Times New Roman" w:hAnsi="Times New Roman" w:cs="Times New Roman"/>
          <w:sz w:val="24"/>
          <w:szCs w:val="24"/>
        </w:rPr>
        <w:t>. The cumulative</w:t>
      </w:r>
      <w:r w:rsidR="00C53737" w:rsidRPr="005C72A4">
        <w:rPr>
          <w:rFonts w:ascii="Times New Roman" w:hAnsi="Times New Roman" w:cs="Times New Roman"/>
          <w:sz w:val="24"/>
          <w:szCs w:val="24"/>
        </w:rPr>
        <w:t xml:space="preserve"> unique specification proportions </w:t>
      </w:r>
      <w:r w:rsidR="0078202E" w:rsidRPr="005C72A4">
        <w:rPr>
          <w:rFonts w:ascii="Times New Roman" w:hAnsi="Times New Roman" w:cs="Times New Roman"/>
          <w:sz w:val="24"/>
          <w:szCs w:val="24"/>
        </w:rPr>
        <w:t xml:space="preserve">for each category is </w:t>
      </w:r>
      <w:r w:rsidR="007C578C" w:rsidRPr="005C72A4">
        <w:rPr>
          <w:rFonts w:ascii="Times New Roman" w:hAnsi="Times New Roman" w:cs="Times New Roman"/>
          <w:sz w:val="24"/>
          <w:szCs w:val="24"/>
        </w:rPr>
        <w:t xml:space="preserve">the </w:t>
      </w:r>
      <w:r w:rsidR="009044A5" w:rsidRPr="005C72A4">
        <w:rPr>
          <w:rFonts w:ascii="Times New Roman" w:hAnsi="Times New Roman" w:cs="Times New Roman"/>
          <w:sz w:val="24"/>
          <w:szCs w:val="24"/>
        </w:rPr>
        <w:t>Comprehensiveness</w:t>
      </w:r>
      <w:r w:rsidR="007C578C" w:rsidRPr="005C72A4">
        <w:rPr>
          <w:rFonts w:ascii="Times New Roman" w:hAnsi="Times New Roman" w:cs="Times New Roman"/>
          <w:sz w:val="24"/>
          <w:szCs w:val="24"/>
        </w:rPr>
        <w:t xml:space="preserve"> index that measures the level of</w:t>
      </w:r>
      <w:r w:rsidR="00F0456F" w:rsidRPr="005C72A4">
        <w:rPr>
          <w:rFonts w:ascii="Times New Roman" w:hAnsi="Times New Roman" w:cs="Times New Roman"/>
          <w:sz w:val="24"/>
          <w:szCs w:val="24"/>
        </w:rPr>
        <w:t xml:space="preserve"> inclusiveness and outreach of policy instruments for each country</w:t>
      </w:r>
      <w:bookmarkStart w:id="10" w:name="_Hlk135004422"/>
      <w:r w:rsidR="00F0456F" w:rsidRPr="005C72A4">
        <w:rPr>
          <w:rFonts w:ascii="Times New Roman" w:hAnsi="Times New Roman" w:cs="Times New Roman"/>
          <w:sz w:val="24"/>
          <w:szCs w:val="24"/>
        </w:rPr>
        <w:t>.</w:t>
      </w:r>
      <w:bookmarkEnd w:id="10"/>
    </w:p>
    <w:p w:rsidR="00104F81" w:rsidRPr="005C72A4" w:rsidRDefault="00507D6D" w:rsidP="00104F81">
      <w:pPr>
        <w:spacing w:line="240" w:lineRule="auto"/>
        <w:rPr>
          <w:rFonts w:ascii="Times New Roman" w:hAnsi="Times New Roman" w:cs="Times New Roman"/>
          <w:sz w:val="24"/>
          <w:szCs w:val="24"/>
        </w:rPr>
      </w:pPr>
      <w:r w:rsidRPr="005C72A4">
        <w:rPr>
          <w:rFonts w:ascii="Times New Roman" w:hAnsi="Times New Roman" w:cs="Times New Roman"/>
          <w:sz w:val="24"/>
          <w:szCs w:val="24"/>
        </w:rPr>
        <w:t>Repeal</w:t>
      </w:r>
      <w:r w:rsidR="00104F81" w:rsidRPr="005C72A4">
        <w:rPr>
          <w:rFonts w:ascii="Times New Roman" w:hAnsi="Times New Roman" w:cs="Times New Roman"/>
          <w:sz w:val="24"/>
          <w:szCs w:val="24"/>
        </w:rPr>
        <w:t xml:space="preserve"> index, Duplication index, and Contradiction index were calculated </w:t>
      </w:r>
      <w:r w:rsidR="00AA62A0" w:rsidRPr="005C72A4">
        <w:rPr>
          <w:rFonts w:ascii="Times New Roman" w:hAnsi="Times New Roman" w:cs="Times New Roman"/>
          <w:sz w:val="24"/>
          <w:szCs w:val="24"/>
        </w:rPr>
        <w:t>using</w:t>
      </w:r>
      <w:r w:rsidR="00104F81" w:rsidRPr="005C72A4">
        <w:rPr>
          <w:rFonts w:ascii="Times New Roman" w:hAnsi="Times New Roman" w:cs="Times New Roman"/>
          <w:sz w:val="24"/>
          <w:szCs w:val="24"/>
        </w:rPr>
        <w:t xml:space="preserve"> the general formula which represent the number of possible combinations when choosing "r" items from a set of "n" items.</w:t>
      </w:r>
    </w:p>
    <w:p w:rsidR="00104F81" w:rsidRPr="005C72A4" w:rsidRDefault="00000000" w:rsidP="00104F81">
      <w:pPr>
        <w:spacing w:line="240" w:lineRule="auto"/>
        <w:rPr>
          <w:rFonts w:ascii="Times New Roman" w:hAnsi="Times New Roman" w:cs="Times New Roman"/>
          <w:i/>
          <w:sz w:val="24"/>
          <w:szCs w:val="24"/>
        </w:rPr>
      </w:pPr>
      <m:oMathPara>
        <m:oMathParaPr>
          <m:jc m:val="center"/>
        </m:oMathParaPr>
        <m:oMath>
          <m:d>
            <m:dPr>
              <m:ctrlPr>
                <w:rPr>
                  <w:rFonts w:ascii="Cambria Math" w:hAnsi="Cambria Math" w:cs="Times New Roman"/>
                  <w:i/>
                  <w:sz w:val="24"/>
                  <w:szCs w:val="24"/>
                </w:rPr>
              </m:ctrlPr>
            </m:dPr>
            <m:e>
              <m:f>
                <m:fPr>
                  <m:type m:val="noBar"/>
                  <m:ctrlPr>
                    <w:rPr>
                      <w:rFonts w:ascii="Cambria Math" w:hAnsi="Cambria Math" w:cs="Times New Roman"/>
                      <w:i/>
                      <w:sz w:val="24"/>
                      <w:szCs w:val="24"/>
                    </w:rPr>
                  </m:ctrlPr>
                </m:fPr>
                <m:num>
                  <m:r>
                    <w:rPr>
                      <w:rFonts w:ascii="Cambria Math" w:eastAsia="Cambria Math" w:hAnsi="Cambria Math" w:cs="Cambria Math"/>
                      <w:sz w:val="24"/>
                      <w:szCs w:val="24"/>
                    </w:rPr>
                    <m:t>n</m:t>
                  </m:r>
                </m:num>
                <m:den>
                  <m:r>
                    <w:rPr>
                      <w:rFonts w:ascii="Cambria Math" w:eastAsia="Cambria Math" w:hAnsi="Cambria Math" w:cs="Cambria Math"/>
                      <w:sz w:val="24"/>
                      <w:szCs w:val="24"/>
                    </w:rPr>
                    <m:t>r</m:t>
                  </m:r>
                </m:den>
              </m:f>
            </m:e>
          </m:d>
          <m:r>
            <w:rPr>
              <w:rFonts w:ascii="Cambria Math" w:eastAsia="Cambria Math" w:hAnsi="Cambria Math" w:cs="Cambria Math"/>
              <w:sz w:val="24"/>
              <w:szCs w:val="24"/>
            </w:rPr>
            <m:t>=</m:t>
          </m:r>
          <w:bookmarkStart w:id="11" w:name="_Hlk134517634"/>
          <m:f>
            <m:fPr>
              <m:ctrlPr>
                <w:rPr>
                  <w:rFonts w:ascii="Cambria Math" w:eastAsia="Cambria Math" w:hAnsi="Cambria Math" w:cs="Cambria Math"/>
                  <w:i/>
                  <w:sz w:val="24"/>
                  <w:szCs w:val="24"/>
                </w:rPr>
              </m:ctrlPr>
            </m:fPr>
            <m:num>
              <m:r>
                <w:rPr>
                  <w:rFonts w:ascii="Cambria Math" w:eastAsia="Cambria Math" w:hAnsi="Cambria Math" w:cs="Cambria Math"/>
                  <w:sz w:val="24"/>
                  <w:szCs w:val="24"/>
                </w:rPr>
                <m:t>n!</m:t>
              </m:r>
            </m:num>
            <m:den>
              <m:r>
                <w:rPr>
                  <w:rFonts w:ascii="Cambria Math" w:eastAsia="Cambria Math" w:hAnsi="Cambria Math" w:cs="Cambria Math"/>
                  <w:sz w:val="24"/>
                  <w:szCs w:val="24"/>
                </w:rPr>
                <m:t>r!</m:t>
              </m:r>
              <m:d>
                <m:dPr>
                  <m:ctrlPr>
                    <w:rPr>
                      <w:rFonts w:ascii="Cambria Math" w:eastAsia="Cambria Math" w:hAnsi="Cambria Math" w:cs="Cambria Math"/>
                      <w:i/>
                      <w:sz w:val="24"/>
                      <w:szCs w:val="24"/>
                    </w:rPr>
                  </m:ctrlPr>
                </m:dPr>
                <m:e>
                  <m:r>
                    <w:rPr>
                      <w:rFonts w:ascii="Cambria Math" w:eastAsia="Cambria Math" w:hAnsi="Cambria Math" w:cs="Cambria Math"/>
                      <w:sz w:val="24"/>
                      <w:szCs w:val="24"/>
                    </w:rPr>
                    <m:t>n-r</m:t>
                  </m:r>
                </m:e>
              </m:d>
              <m:r>
                <w:rPr>
                  <w:rFonts w:ascii="Cambria Math" w:eastAsia="Cambria Math" w:hAnsi="Cambria Math" w:cs="Cambria Math"/>
                  <w:sz w:val="24"/>
                  <w:szCs w:val="24"/>
                </w:rPr>
                <m:t>!</m:t>
              </m:r>
            </m:den>
          </m:f>
        </m:oMath>
      </m:oMathPara>
      <w:bookmarkEnd w:id="11"/>
    </w:p>
    <w:p w:rsidR="00104F81" w:rsidRPr="005C72A4" w:rsidRDefault="00104F81" w:rsidP="00104F81">
      <w:pPr>
        <w:spacing w:line="240" w:lineRule="auto"/>
        <w:rPr>
          <w:rFonts w:ascii="Times New Roman" w:hAnsi="Times New Roman" w:cs="Times New Roman"/>
          <w:i/>
          <w:sz w:val="24"/>
          <w:szCs w:val="24"/>
        </w:rPr>
      </w:pPr>
      <m:oMathPara>
        <m:oMathParaPr>
          <m:jc m:val="center"/>
        </m:oMathParaPr>
        <m:oMath>
          <m:r>
            <w:rPr>
              <w:rFonts w:ascii="Cambria Math" w:eastAsia="Cambria Math" w:hAnsi="Cambria Math" w:cs="Cambria Math"/>
              <w:sz w:val="24"/>
              <w:szCs w:val="24"/>
            </w:rPr>
            <m:t>=</m:t>
          </m:r>
          <m:f>
            <m:fPr>
              <m:ctrlPr>
                <w:rPr>
                  <w:rFonts w:ascii="Cambria Math" w:eastAsia="Cambria Math" w:hAnsi="Cambria Math" w:cs="Cambria Math"/>
                  <w:i/>
                  <w:sz w:val="24"/>
                  <w:szCs w:val="24"/>
                </w:rPr>
              </m:ctrlPr>
            </m:fPr>
            <m:num>
              <m:r>
                <w:rPr>
                  <w:rFonts w:ascii="Cambria Math" w:eastAsia="Cambria Math" w:hAnsi="Cambria Math" w:cs="Cambria Math"/>
                  <w:sz w:val="24"/>
                  <w:szCs w:val="24"/>
                </w:rPr>
                <m:t>[n*</m:t>
              </m:r>
              <m:d>
                <m:dPr>
                  <m:ctrlPr>
                    <w:rPr>
                      <w:rFonts w:ascii="Cambria Math" w:eastAsia="Cambria Math" w:hAnsi="Cambria Math" w:cs="Cambria Math"/>
                      <w:i/>
                      <w:sz w:val="24"/>
                      <w:szCs w:val="24"/>
                    </w:rPr>
                  </m:ctrlPr>
                </m:dPr>
                <m:e>
                  <m:r>
                    <w:rPr>
                      <w:rFonts w:ascii="Cambria Math" w:eastAsia="Cambria Math" w:hAnsi="Cambria Math" w:cs="Cambria Math"/>
                      <w:sz w:val="24"/>
                      <w:szCs w:val="24"/>
                    </w:rPr>
                    <m:t>n-1</m:t>
                  </m:r>
                </m:e>
              </m:d>
              <m:r>
                <w:rPr>
                  <w:rFonts w:ascii="Cambria Math" w:eastAsia="Cambria Math" w:hAnsi="Cambria Math" w:cs="Cambria Math"/>
                  <w:sz w:val="24"/>
                  <w:szCs w:val="24"/>
                </w:rPr>
                <m:t>*</m:t>
              </m:r>
              <m:d>
                <m:dPr>
                  <m:ctrlPr>
                    <w:rPr>
                      <w:rFonts w:ascii="Cambria Math" w:eastAsia="Cambria Math" w:hAnsi="Cambria Math" w:cs="Cambria Math"/>
                      <w:i/>
                      <w:sz w:val="24"/>
                      <w:szCs w:val="24"/>
                    </w:rPr>
                  </m:ctrlPr>
                </m:dPr>
                <m:e>
                  <m:r>
                    <w:rPr>
                      <w:rFonts w:ascii="Cambria Math" w:eastAsia="Cambria Math" w:hAnsi="Cambria Math" w:cs="Cambria Math"/>
                      <w:sz w:val="24"/>
                      <w:szCs w:val="24"/>
                    </w:rPr>
                    <m:t>n-2</m:t>
                  </m:r>
                </m:e>
              </m:d>
              <m:r>
                <w:rPr>
                  <w:rFonts w:ascii="Cambria Math" w:eastAsia="Cambria Math" w:hAnsi="Cambria Math" w:cs="Cambria Math"/>
                  <w:sz w:val="24"/>
                  <w:szCs w:val="24"/>
                </w:rPr>
                <m:t>*…*1]</m:t>
              </m:r>
            </m:num>
            <m:den>
              <m:r>
                <w:rPr>
                  <w:rFonts w:ascii="Cambria Math" w:eastAsia="Cambria Math" w:hAnsi="Cambria Math" w:cs="Cambria Math"/>
                  <w:sz w:val="24"/>
                  <w:szCs w:val="24"/>
                </w:rPr>
                <m:t xml:space="preserve"> [r*</m:t>
              </m:r>
              <m:d>
                <m:dPr>
                  <m:ctrlPr>
                    <w:rPr>
                      <w:rFonts w:ascii="Cambria Math" w:eastAsia="Cambria Math" w:hAnsi="Cambria Math" w:cs="Cambria Math"/>
                      <w:i/>
                      <w:sz w:val="24"/>
                      <w:szCs w:val="24"/>
                    </w:rPr>
                  </m:ctrlPr>
                </m:dPr>
                <m:e>
                  <m:r>
                    <w:rPr>
                      <w:rFonts w:ascii="Cambria Math" w:eastAsia="Cambria Math" w:hAnsi="Cambria Math" w:cs="Cambria Math"/>
                      <w:sz w:val="24"/>
                      <w:szCs w:val="24"/>
                    </w:rPr>
                    <m:t>r-1</m:t>
                  </m:r>
                </m:e>
              </m:d>
              <m:r>
                <w:rPr>
                  <w:rFonts w:ascii="Cambria Math" w:eastAsia="Cambria Math" w:hAnsi="Cambria Math" w:cs="Cambria Math"/>
                  <w:sz w:val="24"/>
                  <w:szCs w:val="24"/>
                </w:rPr>
                <m:t>*</m:t>
              </m:r>
              <m:d>
                <m:dPr>
                  <m:ctrlPr>
                    <w:rPr>
                      <w:rFonts w:ascii="Cambria Math" w:eastAsia="Cambria Math" w:hAnsi="Cambria Math" w:cs="Cambria Math"/>
                      <w:i/>
                      <w:sz w:val="24"/>
                      <w:szCs w:val="24"/>
                    </w:rPr>
                  </m:ctrlPr>
                </m:dPr>
                <m:e>
                  <m:r>
                    <w:rPr>
                      <w:rFonts w:ascii="Cambria Math" w:eastAsia="Cambria Math" w:hAnsi="Cambria Math" w:cs="Cambria Math"/>
                      <w:sz w:val="24"/>
                      <w:szCs w:val="24"/>
                    </w:rPr>
                    <m:t>r-2</m:t>
                  </m:r>
                </m:e>
              </m:d>
              <m:r>
                <w:rPr>
                  <w:rFonts w:ascii="Cambria Math" w:eastAsia="Cambria Math" w:hAnsi="Cambria Math" w:cs="Cambria Math"/>
                  <w:sz w:val="24"/>
                  <w:szCs w:val="24"/>
                </w:rPr>
                <m:t>*…*1]*</m:t>
              </m:r>
              <m:d>
                <m:dPr>
                  <m:begChr m:val="{"/>
                  <m:endChr m:val="}"/>
                  <m:ctrlPr>
                    <w:rPr>
                      <w:rFonts w:ascii="Cambria Math" w:eastAsia="Cambria Math" w:hAnsi="Cambria Math" w:cs="Cambria Math"/>
                      <w:i/>
                      <w:sz w:val="24"/>
                      <w:szCs w:val="24"/>
                    </w:rPr>
                  </m:ctrlPr>
                </m:dPr>
                <m:e>
                  <m:d>
                    <m:dPr>
                      <m:ctrlPr>
                        <w:rPr>
                          <w:rFonts w:ascii="Cambria Math" w:eastAsia="Cambria Math" w:hAnsi="Cambria Math" w:cs="Cambria Math"/>
                          <w:i/>
                          <w:sz w:val="24"/>
                          <w:szCs w:val="24"/>
                        </w:rPr>
                      </m:ctrlPr>
                    </m:dPr>
                    <m:e>
                      <m:r>
                        <w:rPr>
                          <w:rFonts w:ascii="Cambria Math" w:eastAsia="Cambria Math" w:hAnsi="Cambria Math" w:cs="Cambria Math"/>
                          <w:sz w:val="24"/>
                          <w:szCs w:val="24"/>
                        </w:rPr>
                        <m:t>n-r</m:t>
                      </m:r>
                    </m:e>
                  </m:d>
                  <m:r>
                    <w:rPr>
                      <w:rFonts w:ascii="Cambria Math" w:eastAsia="Cambria Math" w:hAnsi="Cambria Math" w:cs="Cambria Math"/>
                      <w:sz w:val="24"/>
                      <w:szCs w:val="24"/>
                    </w:rPr>
                    <m:t>*</m:t>
                  </m:r>
                  <m:d>
                    <m:dPr>
                      <m:begChr m:val="["/>
                      <m:endChr m:val="]"/>
                      <m:ctrlPr>
                        <w:rPr>
                          <w:rFonts w:ascii="Cambria Math" w:eastAsia="Cambria Math" w:hAnsi="Cambria Math" w:cs="Cambria Math"/>
                          <w:i/>
                          <w:sz w:val="24"/>
                          <w:szCs w:val="24"/>
                        </w:rPr>
                      </m:ctrlPr>
                    </m:dPr>
                    <m:e>
                      <m:d>
                        <m:dPr>
                          <m:ctrlPr>
                            <w:rPr>
                              <w:rFonts w:ascii="Cambria Math" w:eastAsia="Cambria Math" w:hAnsi="Cambria Math" w:cs="Cambria Math"/>
                              <w:i/>
                              <w:sz w:val="24"/>
                              <w:szCs w:val="24"/>
                            </w:rPr>
                          </m:ctrlPr>
                        </m:dPr>
                        <m:e>
                          <m:r>
                            <w:rPr>
                              <w:rFonts w:ascii="Cambria Math" w:eastAsia="Cambria Math" w:hAnsi="Cambria Math" w:cs="Cambria Math"/>
                              <w:sz w:val="24"/>
                              <w:szCs w:val="24"/>
                            </w:rPr>
                            <m:t>n-r</m:t>
                          </m:r>
                        </m:e>
                      </m:d>
                      <m:r>
                        <w:rPr>
                          <w:rFonts w:ascii="Cambria Math" w:eastAsia="Cambria Math" w:hAnsi="Cambria Math" w:cs="Cambria Math"/>
                          <w:sz w:val="24"/>
                          <w:szCs w:val="24"/>
                        </w:rPr>
                        <m:t>-1</m:t>
                      </m:r>
                    </m:e>
                  </m:d>
                  <m:r>
                    <w:rPr>
                      <w:rFonts w:ascii="Cambria Math" w:eastAsia="Cambria Math" w:hAnsi="Cambria Math" w:cs="Cambria Math"/>
                      <w:sz w:val="24"/>
                      <w:szCs w:val="24"/>
                    </w:rPr>
                    <m:t>*</m:t>
                  </m:r>
                  <m:d>
                    <m:dPr>
                      <m:begChr m:val="["/>
                      <m:endChr m:val="]"/>
                      <m:ctrlPr>
                        <w:rPr>
                          <w:rFonts w:ascii="Cambria Math" w:eastAsia="Cambria Math" w:hAnsi="Cambria Math" w:cs="Cambria Math"/>
                          <w:i/>
                          <w:sz w:val="24"/>
                          <w:szCs w:val="24"/>
                        </w:rPr>
                      </m:ctrlPr>
                    </m:dPr>
                    <m:e>
                      <m:d>
                        <m:dPr>
                          <m:ctrlPr>
                            <w:rPr>
                              <w:rFonts w:ascii="Cambria Math" w:eastAsia="Cambria Math" w:hAnsi="Cambria Math" w:cs="Cambria Math"/>
                              <w:i/>
                              <w:sz w:val="24"/>
                              <w:szCs w:val="24"/>
                            </w:rPr>
                          </m:ctrlPr>
                        </m:dPr>
                        <m:e>
                          <m:r>
                            <w:rPr>
                              <w:rFonts w:ascii="Cambria Math" w:eastAsia="Cambria Math" w:hAnsi="Cambria Math" w:cs="Cambria Math"/>
                              <w:sz w:val="24"/>
                              <w:szCs w:val="24"/>
                            </w:rPr>
                            <m:t>n-r</m:t>
                          </m:r>
                        </m:e>
                      </m:d>
                      <m:r>
                        <w:rPr>
                          <w:rFonts w:ascii="Cambria Math" w:eastAsia="Cambria Math" w:hAnsi="Cambria Math" w:cs="Cambria Math"/>
                          <w:sz w:val="24"/>
                          <w:szCs w:val="24"/>
                        </w:rPr>
                        <m:t>-2</m:t>
                      </m:r>
                    </m:e>
                  </m:d>
                  <m:r>
                    <w:rPr>
                      <w:rFonts w:ascii="Cambria Math" w:eastAsia="Cambria Math" w:hAnsi="Cambria Math" w:cs="Cambria Math"/>
                      <w:sz w:val="24"/>
                      <w:szCs w:val="24"/>
                    </w:rPr>
                    <m:t>*…*1</m:t>
                  </m:r>
                </m:e>
              </m:d>
            </m:den>
          </m:f>
        </m:oMath>
      </m:oMathPara>
    </w:p>
    <w:p w:rsidR="00D0319C" w:rsidRPr="005C72A4" w:rsidRDefault="00D0319C" w:rsidP="00D0319C">
      <w:pPr>
        <w:spacing w:line="240" w:lineRule="auto"/>
        <w:rPr>
          <w:rFonts w:ascii="Times New Roman" w:hAnsi="Times New Roman" w:cs="Times New Roman"/>
          <w:sz w:val="24"/>
          <w:szCs w:val="24"/>
        </w:rPr>
      </w:pPr>
      <w:r w:rsidRPr="005C72A4">
        <w:rPr>
          <w:rFonts w:ascii="Times New Roman" w:hAnsi="Times New Roman" w:cs="Times New Roman"/>
          <w:sz w:val="24"/>
          <w:szCs w:val="24"/>
        </w:rPr>
        <w:t xml:space="preserve">The </w:t>
      </w:r>
      <w:r w:rsidR="00507D6D" w:rsidRPr="005C72A4">
        <w:rPr>
          <w:rFonts w:ascii="Times New Roman" w:hAnsi="Times New Roman" w:cs="Times New Roman"/>
          <w:sz w:val="24"/>
          <w:szCs w:val="24"/>
        </w:rPr>
        <w:t>Repeal</w:t>
      </w:r>
      <w:r w:rsidRPr="005C72A4">
        <w:rPr>
          <w:rFonts w:ascii="Times New Roman" w:hAnsi="Times New Roman" w:cs="Times New Roman"/>
          <w:sz w:val="24"/>
          <w:szCs w:val="24"/>
        </w:rPr>
        <w:t xml:space="preserve"> index was estimated by calculating the proportion of number of conservation policy statements that have been fully or partially amended or superseded by newer legislation, regulations, or strategies against the total number of possible policy statement repeals for </w:t>
      </w:r>
      <w:r w:rsidR="00C53737" w:rsidRPr="005C72A4">
        <w:rPr>
          <w:rFonts w:ascii="Times New Roman" w:hAnsi="Times New Roman" w:cs="Times New Roman"/>
          <w:sz w:val="24"/>
          <w:szCs w:val="24"/>
        </w:rPr>
        <w:t>each</w:t>
      </w:r>
      <w:r w:rsidRPr="005C72A4">
        <w:rPr>
          <w:rFonts w:ascii="Times New Roman" w:hAnsi="Times New Roman" w:cs="Times New Roman"/>
          <w:sz w:val="24"/>
          <w:szCs w:val="24"/>
        </w:rPr>
        <w:t xml:space="preserve"> country.</w:t>
      </w:r>
    </w:p>
    <w:p w:rsidR="00C16C51" w:rsidRPr="005C72A4" w:rsidRDefault="00D0319C" w:rsidP="00D0319C">
      <w:pPr>
        <w:spacing w:line="240" w:lineRule="auto"/>
        <w:rPr>
          <w:rFonts w:ascii="Times New Roman" w:hAnsi="Times New Roman" w:cs="Times New Roman"/>
          <w:sz w:val="24"/>
          <w:szCs w:val="24"/>
        </w:rPr>
      </w:pPr>
      <w:r w:rsidRPr="005C72A4">
        <w:rPr>
          <w:rFonts w:ascii="Times New Roman" w:hAnsi="Times New Roman" w:cs="Times New Roman"/>
          <w:sz w:val="24"/>
          <w:szCs w:val="24"/>
        </w:rPr>
        <w:t xml:space="preserve">The Duplication index was estimated by calculating the proportion of policy statements with overlapping goals among the specific set of policy statements against the total number of possible superfluous repetition or redundancy cases for </w:t>
      </w:r>
      <w:r w:rsidR="008B7314" w:rsidRPr="005C72A4">
        <w:rPr>
          <w:rFonts w:ascii="Times New Roman" w:hAnsi="Times New Roman" w:cs="Times New Roman"/>
          <w:sz w:val="24"/>
          <w:szCs w:val="24"/>
        </w:rPr>
        <w:t>each</w:t>
      </w:r>
      <w:r w:rsidRPr="005C72A4">
        <w:rPr>
          <w:rFonts w:ascii="Times New Roman" w:hAnsi="Times New Roman" w:cs="Times New Roman"/>
          <w:sz w:val="24"/>
          <w:szCs w:val="24"/>
        </w:rPr>
        <w:t xml:space="preserve"> country. Overlapping goals can be complementary, reinforcing each other in achieving conservation and sustainable development objectives. However, we consider goals overlapping as a source of huge loss of </w:t>
      </w:r>
      <w:r w:rsidRPr="005C72A4">
        <w:rPr>
          <w:rFonts w:ascii="Times New Roman" w:hAnsi="Times New Roman" w:cs="Times New Roman"/>
          <w:sz w:val="24"/>
          <w:szCs w:val="24"/>
        </w:rPr>
        <w:lastRenderedPageBreak/>
        <w:t>time, resources, and efficiency. Hence, minimizing them would increase a PAs system’s effectiveness.</w:t>
      </w:r>
    </w:p>
    <w:p w:rsidR="00D0319C" w:rsidRDefault="00D0319C" w:rsidP="00D0319C">
      <w:pPr>
        <w:spacing w:line="240" w:lineRule="auto"/>
        <w:rPr>
          <w:rFonts w:ascii="Times New Roman" w:hAnsi="Times New Roman" w:cs="Times New Roman"/>
          <w:sz w:val="24"/>
          <w:szCs w:val="24"/>
        </w:rPr>
      </w:pPr>
      <w:r w:rsidRPr="005C72A4">
        <w:rPr>
          <w:rFonts w:ascii="Times New Roman" w:hAnsi="Times New Roman" w:cs="Times New Roman"/>
          <w:sz w:val="24"/>
          <w:szCs w:val="24"/>
        </w:rPr>
        <w:t xml:space="preserve">The Contradiction index was estimated by calculating the proportion of policy statements with conflicting goals among the specific set of policy statements against the total number of possible inconsistency cases for </w:t>
      </w:r>
      <w:r w:rsidR="008B7314" w:rsidRPr="005C72A4">
        <w:rPr>
          <w:rFonts w:ascii="Times New Roman" w:hAnsi="Times New Roman" w:cs="Times New Roman"/>
          <w:sz w:val="24"/>
          <w:szCs w:val="24"/>
        </w:rPr>
        <w:t>each</w:t>
      </w:r>
      <w:r w:rsidRPr="005C72A4">
        <w:rPr>
          <w:rFonts w:ascii="Times New Roman" w:hAnsi="Times New Roman" w:cs="Times New Roman"/>
          <w:sz w:val="24"/>
          <w:szCs w:val="24"/>
        </w:rPr>
        <w:t xml:space="preserve"> country. Conflicting goals in conservation policy statements are not common, as most policies aim to protect or manage natural and cultural resources. However, conflicts </w:t>
      </w:r>
      <w:r w:rsidR="008B7314" w:rsidRPr="005C72A4">
        <w:rPr>
          <w:rFonts w:ascii="Times New Roman" w:hAnsi="Times New Roman" w:cs="Times New Roman"/>
          <w:sz w:val="24"/>
          <w:szCs w:val="24"/>
        </w:rPr>
        <w:t>generally</w:t>
      </w:r>
      <w:r w:rsidRPr="005C72A4">
        <w:rPr>
          <w:rFonts w:ascii="Times New Roman" w:hAnsi="Times New Roman" w:cs="Times New Roman"/>
          <w:sz w:val="24"/>
          <w:szCs w:val="24"/>
        </w:rPr>
        <w:t xml:space="preserve"> arise when policies address resource extraction, development activities, or creation of recreational opportunities in ways that might impact wildlife preservation or protected resources, making it more challenging to balance conservation purposes with economic interests. It is important to emphasize that these conflicts are not inherent in the policy statements themselves but may arise from their implementation or interpretation. Balancing competing interests while adhering to the goals of each policy is often necessary for agencies in charge of executing these policies.</w:t>
      </w:r>
    </w:p>
    <w:p w:rsidR="004B6EDE" w:rsidRPr="004B6EDE" w:rsidRDefault="004B6EDE" w:rsidP="004B6EDE">
      <w:pPr>
        <w:pStyle w:val="Heading2"/>
      </w:pPr>
      <w:r>
        <w:t>Managing institutions framework</w:t>
      </w:r>
    </w:p>
    <w:p w:rsidR="004B6EDE" w:rsidRDefault="004B6EDE" w:rsidP="00D0319C">
      <w:pPr>
        <w:spacing w:line="240" w:lineRule="auto"/>
        <w:rPr>
          <w:rFonts w:ascii="Times New Roman" w:hAnsi="Times New Roman" w:cs="Times New Roman"/>
          <w:sz w:val="24"/>
          <w:szCs w:val="24"/>
        </w:rPr>
      </w:pPr>
      <w:r w:rsidRPr="00CB5E64">
        <w:rPr>
          <w:rFonts w:ascii="Times New Roman" w:hAnsi="Times New Roman" w:cs="Times New Roman"/>
          <w:sz w:val="24"/>
          <w:szCs w:val="24"/>
        </w:rPr>
        <w:t xml:space="preserve">We have identified major PAs managing institutions, </w:t>
      </w:r>
      <w:r w:rsidR="0012560A" w:rsidRPr="00CB5E64">
        <w:rPr>
          <w:rFonts w:ascii="Times New Roman" w:hAnsi="Times New Roman" w:cs="Times New Roman"/>
          <w:sz w:val="24"/>
          <w:szCs w:val="24"/>
        </w:rPr>
        <w:t>pointed out</w:t>
      </w:r>
      <w:r w:rsidRPr="00CB5E64">
        <w:rPr>
          <w:rFonts w:ascii="Times New Roman" w:hAnsi="Times New Roman" w:cs="Times New Roman"/>
          <w:sz w:val="24"/>
          <w:szCs w:val="24"/>
        </w:rPr>
        <w:t xml:space="preserve"> their </w:t>
      </w:r>
      <w:r w:rsidR="0012560A" w:rsidRPr="00CB5E64">
        <w:rPr>
          <w:rFonts w:ascii="Times New Roman" w:hAnsi="Times New Roman" w:cs="Times New Roman"/>
          <w:sz w:val="24"/>
          <w:szCs w:val="24"/>
        </w:rPr>
        <w:t xml:space="preserve">historical background, </w:t>
      </w:r>
      <w:r w:rsidR="00F87850" w:rsidRPr="00CB5E64">
        <w:rPr>
          <w:rFonts w:ascii="Times New Roman" w:hAnsi="Times New Roman" w:cs="Times New Roman"/>
          <w:sz w:val="24"/>
          <w:szCs w:val="24"/>
        </w:rPr>
        <w:t xml:space="preserve">and have </w:t>
      </w:r>
      <w:r w:rsidR="0012560A" w:rsidRPr="00CB5E64">
        <w:rPr>
          <w:rFonts w:ascii="Times New Roman" w:hAnsi="Times New Roman" w:cs="Times New Roman"/>
          <w:sz w:val="24"/>
          <w:szCs w:val="24"/>
        </w:rPr>
        <w:t xml:space="preserve">identified their </w:t>
      </w:r>
      <w:r w:rsidRPr="00CB5E64">
        <w:rPr>
          <w:rFonts w:ascii="Times New Roman" w:hAnsi="Times New Roman" w:cs="Times New Roman"/>
          <w:sz w:val="24"/>
          <w:szCs w:val="24"/>
        </w:rPr>
        <w:t>conservation missions</w:t>
      </w:r>
      <w:r w:rsidR="00F87850" w:rsidRPr="00CB5E64">
        <w:rPr>
          <w:rFonts w:ascii="Times New Roman" w:hAnsi="Times New Roman" w:cs="Times New Roman"/>
          <w:sz w:val="24"/>
          <w:szCs w:val="24"/>
        </w:rPr>
        <w:t xml:space="preserve">. Institutional framework was assessed based on 4 specific criteria: (1). Seniority, (2). Stability, (3). Comprehensiveness, and (4). Exclusivity. </w:t>
      </w:r>
      <w:r w:rsidR="00003E2E" w:rsidRPr="00CB5E64">
        <w:rPr>
          <w:rFonts w:ascii="Times New Roman" w:hAnsi="Times New Roman" w:cs="Times New Roman"/>
          <w:sz w:val="24"/>
          <w:szCs w:val="24"/>
        </w:rPr>
        <w:t>We</w:t>
      </w:r>
      <w:bookmarkStart w:id="12" w:name="_Hlk135004275"/>
      <w:r w:rsidR="00003E2E" w:rsidRPr="00CB5E64">
        <w:rPr>
          <w:rFonts w:ascii="Times New Roman" w:hAnsi="Times New Roman" w:cs="Times New Roman"/>
          <w:sz w:val="24"/>
          <w:szCs w:val="24"/>
        </w:rPr>
        <w:t xml:space="preserve"> did this through the calculation of Seniority index, </w:t>
      </w:r>
      <w:r w:rsidR="002D4C03" w:rsidRPr="00CB5E64">
        <w:rPr>
          <w:rFonts w:ascii="Times New Roman" w:hAnsi="Times New Roman" w:cs="Times New Roman"/>
          <w:sz w:val="24"/>
          <w:szCs w:val="24"/>
        </w:rPr>
        <w:t>Ins</w:t>
      </w:r>
      <w:r w:rsidR="00003E2E" w:rsidRPr="00CB5E64">
        <w:rPr>
          <w:rFonts w:ascii="Times New Roman" w:hAnsi="Times New Roman" w:cs="Times New Roman"/>
          <w:sz w:val="24"/>
          <w:szCs w:val="24"/>
        </w:rPr>
        <w:t xml:space="preserve">tability index, Comprehensiveness index and Exclusivity index. Seniority index was calculated as the relative comparison of the four countries years of existence since the establishment of their first PAs managing institution. </w:t>
      </w:r>
      <w:r w:rsidR="002D4C03" w:rsidRPr="00CB5E64">
        <w:rPr>
          <w:rFonts w:ascii="Times New Roman" w:hAnsi="Times New Roman" w:cs="Times New Roman"/>
          <w:sz w:val="24"/>
          <w:szCs w:val="24"/>
        </w:rPr>
        <w:t>Ins</w:t>
      </w:r>
      <w:r w:rsidR="00003E2E" w:rsidRPr="00CB5E64">
        <w:rPr>
          <w:rFonts w:ascii="Times New Roman" w:hAnsi="Times New Roman" w:cs="Times New Roman"/>
          <w:sz w:val="24"/>
          <w:szCs w:val="24"/>
        </w:rPr>
        <w:t xml:space="preserve">tability </w:t>
      </w:r>
      <w:r w:rsidR="002D4C03" w:rsidRPr="00CB5E64">
        <w:rPr>
          <w:rFonts w:ascii="Times New Roman" w:hAnsi="Times New Roman" w:cs="Times New Roman"/>
          <w:sz w:val="24"/>
          <w:szCs w:val="24"/>
        </w:rPr>
        <w:t xml:space="preserve">index </w:t>
      </w:r>
      <w:r w:rsidR="00003E2E" w:rsidRPr="00CB5E64">
        <w:rPr>
          <w:rFonts w:ascii="Times New Roman" w:hAnsi="Times New Roman" w:cs="Times New Roman"/>
          <w:sz w:val="24"/>
          <w:szCs w:val="24"/>
        </w:rPr>
        <w:t xml:space="preserve">was calculated </w:t>
      </w:r>
      <w:bookmarkStart w:id="13" w:name="_Hlk135591002"/>
      <w:r w:rsidR="00003E2E" w:rsidRPr="00CB5E64">
        <w:rPr>
          <w:rFonts w:ascii="Times New Roman" w:hAnsi="Times New Roman" w:cs="Times New Roman"/>
          <w:sz w:val="24"/>
          <w:szCs w:val="24"/>
        </w:rPr>
        <w:t>as the relative comparison of each country’s</w:t>
      </w:r>
      <w:bookmarkEnd w:id="13"/>
      <w:r w:rsidR="00003E2E" w:rsidRPr="00CB5E64">
        <w:rPr>
          <w:rFonts w:ascii="Times New Roman" w:hAnsi="Times New Roman" w:cs="Times New Roman"/>
          <w:sz w:val="24"/>
          <w:szCs w:val="24"/>
        </w:rPr>
        <w:t xml:space="preserve"> </w:t>
      </w:r>
      <w:r w:rsidR="002D4C03" w:rsidRPr="00CB5E64">
        <w:rPr>
          <w:rFonts w:ascii="Times New Roman" w:hAnsi="Times New Roman" w:cs="Times New Roman"/>
          <w:sz w:val="24"/>
          <w:szCs w:val="24"/>
        </w:rPr>
        <w:t xml:space="preserve">total </w:t>
      </w:r>
      <w:r w:rsidR="00003E2E" w:rsidRPr="00CB5E64">
        <w:rPr>
          <w:rFonts w:ascii="Times New Roman" w:hAnsi="Times New Roman" w:cs="Times New Roman"/>
          <w:sz w:val="24"/>
          <w:szCs w:val="24"/>
        </w:rPr>
        <w:t xml:space="preserve">number of </w:t>
      </w:r>
      <w:r w:rsidR="00E31F9A" w:rsidRPr="00CB5E64">
        <w:rPr>
          <w:rFonts w:ascii="Times New Roman" w:hAnsi="Times New Roman" w:cs="Times New Roman"/>
          <w:sz w:val="24"/>
          <w:szCs w:val="24"/>
        </w:rPr>
        <w:t xml:space="preserve">complete </w:t>
      </w:r>
      <w:r w:rsidR="002D4C03" w:rsidRPr="00CB5E64">
        <w:rPr>
          <w:rFonts w:ascii="Times New Roman" w:hAnsi="Times New Roman" w:cs="Times New Roman"/>
          <w:sz w:val="24"/>
          <w:szCs w:val="24"/>
        </w:rPr>
        <w:t>restructurings performed on its managing institutions</w:t>
      </w:r>
      <w:r w:rsidR="00E31F9A" w:rsidRPr="00CB5E64">
        <w:rPr>
          <w:rFonts w:ascii="Times New Roman" w:hAnsi="Times New Roman" w:cs="Times New Roman"/>
          <w:sz w:val="24"/>
          <w:szCs w:val="24"/>
        </w:rPr>
        <w:t xml:space="preserve"> all along their lifetime</w:t>
      </w:r>
      <w:r w:rsidR="002D4C03" w:rsidRPr="00CB5E64">
        <w:rPr>
          <w:rFonts w:ascii="Times New Roman" w:hAnsi="Times New Roman" w:cs="Times New Roman"/>
          <w:sz w:val="24"/>
          <w:szCs w:val="24"/>
        </w:rPr>
        <w:t>. Comprehensiveness</w:t>
      </w:r>
      <w:r w:rsidR="00E31F9A" w:rsidRPr="00CB5E64">
        <w:rPr>
          <w:rFonts w:ascii="Times New Roman" w:hAnsi="Times New Roman" w:cs="Times New Roman"/>
          <w:sz w:val="24"/>
          <w:szCs w:val="24"/>
        </w:rPr>
        <w:t xml:space="preserve"> index</w:t>
      </w:r>
      <w:r w:rsidR="002D4C03" w:rsidRPr="00CB5E64">
        <w:rPr>
          <w:rFonts w:ascii="Times New Roman" w:hAnsi="Times New Roman" w:cs="Times New Roman"/>
          <w:sz w:val="24"/>
          <w:szCs w:val="24"/>
        </w:rPr>
        <w:t xml:space="preserve"> was </w:t>
      </w:r>
      <w:r w:rsidR="00E31F9A" w:rsidRPr="00CB5E64">
        <w:rPr>
          <w:rFonts w:ascii="Times New Roman" w:hAnsi="Times New Roman" w:cs="Times New Roman"/>
          <w:sz w:val="24"/>
          <w:szCs w:val="24"/>
        </w:rPr>
        <w:t>calculated based on PAs managing institutions’ missions for each country. The missions were first</w:t>
      </w:r>
      <w:r w:rsidRPr="00CB5E64">
        <w:rPr>
          <w:rFonts w:ascii="Times New Roman" w:hAnsi="Times New Roman" w:cs="Times New Roman"/>
          <w:sz w:val="24"/>
          <w:szCs w:val="24"/>
        </w:rPr>
        <w:t xml:space="preserve"> </w:t>
      </w:r>
      <w:bookmarkEnd w:id="12"/>
      <w:r w:rsidRPr="00CB5E64">
        <w:rPr>
          <w:rFonts w:ascii="Times New Roman" w:hAnsi="Times New Roman" w:cs="Times New Roman"/>
          <w:sz w:val="24"/>
          <w:szCs w:val="24"/>
        </w:rPr>
        <w:t xml:space="preserve">categorised into 7 major </w:t>
      </w:r>
      <w:r w:rsidR="00F87850" w:rsidRPr="00CB5E64">
        <w:rPr>
          <w:rFonts w:ascii="Times New Roman" w:hAnsi="Times New Roman" w:cs="Times New Roman"/>
          <w:sz w:val="24"/>
          <w:szCs w:val="24"/>
        </w:rPr>
        <w:t>management</w:t>
      </w:r>
      <w:r w:rsidRPr="00CB5E64">
        <w:rPr>
          <w:rFonts w:ascii="Times New Roman" w:hAnsi="Times New Roman" w:cs="Times New Roman"/>
          <w:sz w:val="24"/>
          <w:szCs w:val="24"/>
        </w:rPr>
        <w:t xml:space="preserve"> lines </w:t>
      </w:r>
      <w:r w:rsidRPr="00CB5E64">
        <w:rPr>
          <w:rFonts w:ascii="Times New Roman" w:hAnsi="Times New Roman" w:cs="Times New Roman"/>
          <w:i/>
          <w:iCs/>
          <w:sz w:val="24"/>
          <w:szCs w:val="24"/>
        </w:rPr>
        <w:t>Manage scenic PAs, Manage ecological PAs, Manage geological PAs, Manage protected rivers and wetlands, Manage historical PAs, Manage cultural PAs, and Manage tourism</w:t>
      </w:r>
      <w:r w:rsidR="00E31F9A" w:rsidRPr="00CB5E64">
        <w:rPr>
          <w:rFonts w:ascii="Times New Roman" w:hAnsi="Times New Roman" w:cs="Times New Roman"/>
          <w:sz w:val="24"/>
          <w:szCs w:val="24"/>
        </w:rPr>
        <w:t xml:space="preserve"> and later </w:t>
      </w:r>
      <w:r w:rsidRPr="00CB5E64">
        <w:rPr>
          <w:rFonts w:ascii="Times New Roman" w:hAnsi="Times New Roman" w:cs="Times New Roman"/>
          <w:sz w:val="24"/>
          <w:szCs w:val="24"/>
        </w:rPr>
        <w:t xml:space="preserve">quantified, and </w:t>
      </w:r>
      <w:r w:rsidR="00E31F9A" w:rsidRPr="00CB5E64">
        <w:rPr>
          <w:rFonts w:ascii="Times New Roman" w:hAnsi="Times New Roman" w:cs="Times New Roman"/>
          <w:sz w:val="24"/>
          <w:szCs w:val="24"/>
        </w:rPr>
        <w:t>at the end</w:t>
      </w:r>
      <w:r w:rsidRPr="00CB5E64">
        <w:rPr>
          <w:rFonts w:ascii="Times New Roman" w:hAnsi="Times New Roman" w:cs="Times New Roman"/>
          <w:sz w:val="24"/>
          <w:szCs w:val="24"/>
        </w:rPr>
        <w:t xml:space="preserve"> contrasted against </w:t>
      </w:r>
      <w:r w:rsidR="00E31F9A" w:rsidRPr="00CB5E64">
        <w:rPr>
          <w:rFonts w:ascii="Times New Roman" w:hAnsi="Times New Roman" w:cs="Times New Roman"/>
          <w:sz w:val="24"/>
          <w:szCs w:val="24"/>
        </w:rPr>
        <w:t xml:space="preserve">the remaining </w:t>
      </w:r>
      <w:r w:rsidR="00CB5E64" w:rsidRPr="00CB5E64">
        <w:rPr>
          <w:rFonts w:ascii="Times New Roman" w:hAnsi="Times New Roman" w:cs="Times New Roman"/>
          <w:sz w:val="24"/>
          <w:szCs w:val="24"/>
        </w:rPr>
        <w:t>countries’ values</w:t>
      </w:r>
      <w:r w:rsidRPr="00CB5E64">
        <w:rPr>
          <w:rFonts w:ascii="Times New Roman" w:hAnsi="Times New Roman" w:cs="Times New Roman"/>
          <w:sz w:val="24"/>
          <w:szCs w:val="24"/>
        </w:rPr>
        <w:t xml:space="preserve">. To achieve that, we’ve assigned an empirical value of 1, 0.5, and 0 to PAs managing institution that respectively </w:t>
      </w:r>
      <w:r w:rsidR="00CB5E64" w:rsidRPr="00CB5E64">
        <w:rPr>
          <w:rFonts w:ascii="Times New Roman" w:hAnsi="Times New Roman" w:cs="Times New Roman"/>
          <w:sz w:val="24"/>
          <w:szCs w:val="24"/>
        </w:rPr>
        <w:t>is</w:t>
      </w:r>
      <w:r w:rsidRPr="00CB5E64">
        <w:rPr>
          <w:rFonts w:ascii="Times New Roman" w:hAnsi="Times New Roman" w:cs="Times New Roman"/>
          <w:sz w:val="24"/>
          <w:szCs w:val="24"/>
        </w:rPr>
        <w:t xml:space="preserve"> Fully, Partially, and Meaninglessly tasked to perform each one of the listed managerial duties. </w:t>
      </w:r>
      <w:r w:rsidR="00CB5E64">
        <w:rPr>
          <w:rFonts w:ascii="Times New Roman" w:hAnsi="Times New Roman" w:cs="Times New Roman"/>
          <w:sz w:val="24"/>
          <w:szCs w:val="24"/>
        </w:rPr>
        <w:t>The exclusivity index was calculated by</w:t>
      </w:r>
      <w:r w:rsidR="00CB5E64" w:rsidRPr="00CB5E64">
        <w:t xml:space="preserve"> </w:t>
      </w:r>
      <w:r w:rsidR="00CB5E64" w:rsidRPr="00CB5E64">
        <w:rPr>
          <w:rFonts w:ascii="Times New Roman" w:hAnsi="Times New Roman" w:cs="Times New Roman"/>
          <w:sz w:val="24"/>
          <w:szCs w:val="24"/>
        </w:rPr>
        <w:t xml:space="preserve">as the relative comparison of each </w:t>
      </w:r>
      <w:r w:rsidR="00CB5E64">
        <w:rPr>
          <w:rFonts w:ascii="Times New Roman" w:hAnsi="Times New Roman" w:cs="Times New Roman"/>
          <w:sz w:val="24"/>
          <w:szCs w:val="24"/>
        </w:rPr>
        <w:t>PAs managing institution’s mission focus on conservation.</w:t>
      </w:r>
      <w:r w:rsidR="00CB5E64" w:rsidRPr="00CB5E64">
        <w:rPr>
          <w:rFonts w:ascii="Times New Roman" w:hAnsi="Times New Roman" w:cs="Times New Roman"/>
          <w:sz w:val="24"/>
          <w:szCs w:val="24"/>
          <w:highlight w:val="cyan"/>
        </w:rPr>
        <w:t xml:space="preserve"> </w:t>
      </w:r>
    </w:p>
    <w:p w:rsidR="004B2648" w:rsidRPr="00553D8B" w:rsidRDefault="004B2648" w:rsidP="004B2648">
      <w:pPr>
        <w:pStyle w:val="Heading2"/>
      </w:pPr>
      <w:r>
        <w:t>PAs network</w:t>
      </w:r>
    </w:p>
    <w:p w:rsidR="00104F81" w:rsidRPr="000063ED" w:rsidRDefault="00A30C2F" w:rsidP="00D0319C">
      <w:pPr>
        <w:spacing w:line="240" w:lineRule="auto"/>
        <w:rPr>
          <w:rFonts w:ascii="Times New Roman" w:hAnsi="Times New Roman" w:cs="Times New Roman"/>
          <w:i/>
          <w:sz w:val="24"/>
          <w:szCs w:val="24"/>
        </w:rPr>
      </w:pPr>
      <w:r w:rsidRPr="005C72A4">
        <w:rPr>
          <w:rFonts w:ascii="Times New Roman" w:hAnsi="Times New Roman" w:cs="Times New Roman"/>
          <w:sz w:val="24"/>
          <w:szCs w:val="24"/>
        </w:rPr>
        <w:t>In t</w:t>
      </w:r>
      <w:r w:rsidR="004B2648" w:rsidRPr="005C72A4">
        <w:rPr>
          <w:rFonts w:ascii="Times New Roman" w:hAnsi="Times New Roman" w:cs="Times New Roman"/>
          <w:sz w:val="24"/>
          <w:szCs w:val="24"/>
        </w:rPr>
        <w:t>h</w:t>
      </w:r>
      <w:r w:rsidR="00306851" w:rsidRPr="005C72A4">
        <w:rPr>
          <w:rFonts w:ascii="Times New Roman" w:hAnsi="Times New Roman" w:cs="Times New Roman"/>
          <w:sz w:val="24"/>
          <w:szCs w:val="24"/>
        </w:rPr>
        <w:t>is study</w:t>
      </w:r>
      <w:r w:rsidR="0057201F" w:rsidRPr="005C72A4">
        <w:rPr>
          <w:rFonts w:ascii="Times New Roman" w:hAnsi="Times New Roman" w:cs="Times New Roman"/>
          <w:sz w:val="24"/>
          <w:szCs w:val="24"/>
        </w:rPr>
        <w:t>, we have assessed and</w:t>
      </w:r>
      <w:r w:rsidR="00306851" w:rsidRPr="005C72A4">
        <w:rPr>
          <w:rFonts w:ascii="Times New Roman" w:hAnsi="Times New Roman" w:cs="Times New Roman"/>
          <w:sz w:val="24"/>
          <w:szCs w:val="24"/>
        </w:rPr>
        <w:t xml:space="preserve"> compar</w:t>
      </w:r>
      <w:r w:rsidR="0057201F" w:rsidRPr="005C72A4">
        <w:rPr>
          <w:rFonts w:ascii="Times New Roman" w:hAnsi="Times New Roman" w:cs="Times New Roman"/>
          <w:sz w:val="24"/>
          <w:szCs w:val="24"/>
        </w:rPr>
        <w:t xml:space="preserve">ed </w:t>
      </w:r>
      <w:r w:rsidR="00306851" w:rsidRPr="005C72A4">
        <w:rPr>
          <w:rFonts w:ascii="Times New Roman" w:hAnsi="Times New Roman" w:cs="Times New Roman"/>
          <w:sz w:val="24"/>
          <w:szCs w:val="24"/>
        </w:rPr>
        <w:t>the capabilities of</w:t>
      </w:r>
      <w:r w:rsidR="0057201F" w:rsidRPr="005C72A4">
        <w:rPr>
          <w:rFonts w:ascii="Times New Roman" w:hAnsi="Times New Roman" w:cs="Times New Roman"/>
          <w:sz w:val="24"/>
          <w:szCs w:val="24"/>
        </w:rPr>
        <w:t xml:space="preserve"> </w:t>
      </w:r>
      <w:r w:rsidR="00306851" w:rsidRPr="005C72A4">
        <w:rPr>
          <w:rFonts w:ascii="Times New Roman" w:hAnsi="Times New Roman" w:cs="Times New Roman"/>
          <w:sz w:val="24"/>
          <w:szCs w:val="24"/>
        </w:rPr>
        <w:t xml:space="preserve">current PAs networks in DRC, Rwanda, Uganda, and the USA </w:t>
      </w:r>
      <w:r w:rsidR="0057201F" w:rsidRPr="005C72A4">
        <w:rPr>
          <w:rFonts w:ascii="Times New Roman" w:hAnsi="Times New Roman" w:cs="Times New Roman"/>
          <w:sz w:val="24"/>
          <w:szCs w:val="24"/>
        </w:rPr>
        <w:t xml:space="preserve">in efficiently responding to the </w:t>
      </w:r>
      <w:r w:rsidR="00306851" w:rsidRPr="005C72A4">
        <w:rPr>
          <w:rFonts w:ascii="Times New Roman" w:hAnsi="Times New Roman" w:cs="Times New Roman"/>
          <w:sz w:val="24"/>
          <w:szCs w:val="24"/>
        </w:rPr>
        <w:t xml:space="preserve">current and future </w:t>
      </w:r>
      <w:r w:rsidR="00E94FFE" w:rsidRPr="005C72A4">
        <w:rPr>
          <w:rFonts w:ascii="Times New Roman" w:hAnsi="Times New Roman" w:cs="Times New Roman"/>
          <w:sz w:val="24"/>
          <w:szCs w:val="24"/>
        </w:rPr>
        <w:t xml:space="preserve">conservation </w:t>
      </w:r>
      <w:r w:rsidR="00306851" w:rsidRPr="005C72A4">
        <w:rPr>
          <w:rFonts w:ascii="Times New Roman" w:hAnsi="Times New Roman" w:cs="Times New Roman"/>
          <w:sz w:val="24"/>
          <w:szCs w:val="24"/>
        </w:rPr>
        <w:t>challenges</w:t>
      </w:r>
      <w:r w:rsidR="00E94FFE" w:rsidRPr="005C72A4">
        <w:rPr>
          <w:rFonts w:ascii="Times New Roman" w:hAnsi="Times New Roman" w:cs="Times New Roman"/>
          <w:sz w:val="24"/>
          <w:szCs w:val="24"/>
        </w:rPr>
        <w:t xml:space="preserve">. </w:t>
      </w:r>
      <w:r w:rsidR="004D1F43" w:rsidRPr="005C72A4">
        <w:rPr>
          <w:rFonts w:ascii="Times New Roman" w:hAnsi="Times New Roman" w:cs="Times New Roman"/>
          <w:sz w:val="24"/>
          <w:szCs w:val="24"/>
        </w:rPr>
        <w:t>PAs network</w:t>
      </w:r>
      <w:r w:rsidR="004D1F43" w:rsidRPr="005C72A4">
        <w:t xml:space="preserve"> </w:t>
      </w:r>
      <w:r w:rsidR="004D1F43" w:rsidRPr="005C72A4">
        <w:rPr>
          <w:rFonts w:ascii="Times New Roman" w:hAnsi="Times New Roman" w:cs="Times New Roman"/>
          <w:sz w:val="24"/>
          <w:szCs w:val="24"/>
        </w:rPr>
        <w:t xml:space="preserve">was assessed through the calculation of 3 specific indexes: </w:t>
      </w:r>
      <w:bookmarkStart w:id="14" w:name="_Hlk135592478"/>
      <w:r w:rsidR="004D1F43" w:rsidRPr="005C72A4">
        <w:rPr>
          <w:rFonts w:ascii="Times New Roman" w:hAnsi="Times New Roman" w:cs="Times New Roman"/>
          <w:sz w:val="24"/>
          <w:szCs w:val="24"/>
        </w:rPr>
        <w:t xml:space="preserve">(1). </w:t>
      </w:r>
      <w:bookmarkEnd w:id="14"/>
      <w:r w:rsidR="004D1F43" w:rsidRPr="005C72A4">
        <w:rPr>
          <w:rFonts w:ascii="Times New Roman" w:hAnsi="Times New Roman" w:cs="Times New Roman"/>
          <w:sz w:val="24"/>
          <w:szCs w:val="24"/>
        </w:rPr>
        <w:t xml:space="preserve">National coverage index, (2). Comprehensiveness index, and (3). Establishment trend index. </w:t>
      </w:r>
      <w:r w:rsidR="00E94FFE" w:rsidRPr="005C72A4">
        <w:rPr>
          <w:rFonts w:ascii="Times New Roman" w:hAnsi="Times New Roman" w:cs="Times New Roman"/>
          <w:sz w:val="24"/>
          <w:szCs w:val="24"/>
        </w:rPr>
        <w:t>W</w:t>
      </w:r>
      <w:r w:rsidR="004B2648" w:rsidRPr="005C72A4">
        <w:rPr>
          <w:rFonts w:ascii="Times New Roman" w:hAnsi="Times New Roman" w:cs="Times New Roman"/>
          <w:sz w:val="24"/>
          <w:szCs w:val="24"/>
        </w:rPr>
        <w:t>e have studied PAs typology, size,</w:t>
      </w:r>
      <w:r w:rsidR="00AA62A0" w:rsidRPr="005C72A4">
        <w:rPr>
          <w:rFonts w:ascii="Times New Roman" w:hAnsi="Times New Roman" w:cs="Times New Roman"/>
          <w:sz w:val="24"/>
          <w:szCs w:val="24"/>
        </w:rPr>
        <w:t xml:space="preserve"> </w:t>
      </w:r>
      <w:r w:rsidR="004D1F43" w:rsidRPr="005C72A4">
        <w:rPr>
          <w:rFonts w:ascii="Times New Roman" w:hAnsi="Times New Roman" w:cs="Times New Roman"/>
          <w:sz w:val="24"/>
          <w:szCs w:val="24"/>
        </w:rPr>
        <w:t xml:space="preserve">and </w:t>
      </w:r>
      <w:r w:rsidR="004B2648" w:rsidRPr="005C72A4">
        <w:rPr>
          <w:rFonts w:ascii="Times New Roman" w:hAnsi="Times New Roman" w:cs="Times New Roman"/>
          <w:sz w:val="24"/>
          <w:szCs w:val="24"/>
        </w:rPr>
        <w:t xml:space="preserve">historical evolution of the PAs network for each of the </w:t>
      </w:r>
      <w:r w:rsidR="00F95CFC" w:rsidRPr="005C72A4">
        <w:rPr>
          <w:rFonts w:ascii="Times New Roman" w:hAnsi="Times New Roman" w:cs="Times New Roman"/>
          <w:sz w:val="24"/>
          <w:szCs w:val="24"/>
        </w:rPr>
        <w:t xml:space="preserve">four </w:t>
      </w:r>
      <w:r w:rsidR="004B2648" w:rsidRPr="005C72A4">
        <w:rPr>
          <w:rFonts w:ascii="Times New Roman" w:hAnsi="Times New Roman" w:cs="Times New Roman"/>
          <w:sz w:val="24"/>
          <w:szCs w:val="24"/>
        </w:rPr>
        <w:t xml:space="preserve">countries. All these elements put together are a mine of useful information to enlighten us about </w:t>
      </w:r>
      <w:r w:rsidR="00F95CFC" w:rsidRPr="005C72A4">
        <w:rPr>
          <w:rFonts w:ascii="Times New Roman" w:hAnsi="Times New Roman" w:cs="Times New Roman"/>
          <w:sz w:val="24"/>
          <w:szCs w:val="24"/>
        </w:rPr>
        <w:t>each period of time’s preference, the</w:t>
      </w:r>
      <w:r w:rsidR="004B2648" w:rsidRPr="005C72A4">
        <w:rPr>
          <w:rFonts w:ascii="Times New Roman" w:hAnsi="Times New Roman" w:cs="Times New Roman"/>
          <w:sz w:val="24"/>
          <w:szCs w:val="24"/>
        </w:rPr>
        <w:t xml:space="preserve"> trend and future perspective in terms of the establishment and management of the new or existing PAs networks. This </w:t>
      </w:r>
      <w:r w:rsidR="00E94FFE" w:rsidRPr="005C72A4">
        <w:rPr>
          <w:rFonts w:ascii="Times New Roman" w:hAnsi="Times New Roman" w:cs="Times New Roman"/>
          <w:sz w:val="24"/>
          <w:szCs w:val="24"/>
        </w:rPr>
        <w:t>approach is not only meant to show the most prominent types of PAs but also the eme</w:t>
      </w:r>
      <w:r w:rsidR="000063ED" w:rsidRPr="005C72A4">
        <w:rPr>
          <w:rFonts w:ascii="Times New Roman" w:hAnsi="Times New Roman" w:cs="Times New Roman"/>
          <w:sz w:val="24"/>
          <w:szCs w:val="24"/>
        </w:rPr>
        <w:t>rging, and the most promising types of PAs</w:t>
      </w:r>
      <w:r w:rsidR="004B2648" w:rsidRPr="005C72A4">
        <w:rPr>
          <w:rFonts w:ascii="Times New Roman" w:hAnsi="Times New Roman" w:cs="Times New Roman"/>
          <w:sz w:val="24"/>
          <w:szCs w:val="24"/>
        </w:rPr>
        <w:t xml:space="preserve"> </w:t>
      </w:r>
      <w:r w:rsidR="000063ED" w:rsidRPr="005C72A4">
        <w:rPr>
          <w:rFonts w:ascii="Times New Roman" w:hAnsi="Times New Roman" w:cs="Times New Roman"/>
          <w:sz w:val="24"/>
          <w:szCs w:val="24"/>
        </w:rPr>
        <w:t>which are likely</w:t>
      </w:r>
      <w:r w:rsidR="004B2648" w:rsidRPr="005C72A4">
        <w:rPr>
          <w:rFonts w:ascii="Times New Roman" w:hAnsi="Times New Roman" w:cs="Times New Roman"/>
          <w:sz w:val="24"/>
          <w:szCs w:val="24"/>
        </w:rPr>
        <w:t xml:space="preserve"> more equipped to cope with modern conservation challenges </w:t>
      </w:r>
      <w:r w:rsidR="000063ED" w:rsidRPr="005C72A4">
        <w:rPr>
          <w:rFonts w:ascii="Times New Roman" w:hAnsi="Times New Roman" w:cs="Times New Roman"/>
          <w:sz w:val="24"/>
          <w:szCs w:val="24"/>
        </w:rPr>
        <w:t>compared to</w:t>
      </w:r>
      <w:r w:rsidR="004B2648" w:rsidRPr="005C72A4">
        <w:rPr>
          <w:rFonts w:ascii="Times New Roman" w:hAnsi="Times New Roman" w:cs="Times New Roman"/>
          <w:sz w:val="24"/>
          <w:szCs w:val="24"/>
        </w:rPr>
        <w:t xml:space="preserve"> their classical counterparts.</w:t>
      </w:r>
    </w:p>
    <w:p w:rsidR="00D0319C" w:rsidRPr="00553D8B" w:rsidRDefault="00D0319C" w:rsidP="00D0319C">
      <w:pPr>
        <w:pStyle w:val="Heading1"/>
      </w:pPr>
      <w:r>
        <w:t>Results</w:t>
      </w:r>
    </w:p>
    <w:p w:rsidR="00F17E02" w:rsidRPr="00553D8B" w:rsidRDefault="00F17E02" w:rsidP="00D0319C">
      <w:pPr>
        <w:pStyle w:val="Heading2"/>
      </w:pPr>
      <w:bookmarkStart w:id="15" w:name="_Hlk133970971"/>
      <w:r w:rsidRPr="00553D8B">
        <w:t>Legal and Policy environment</w:t>
      </w:r>
    </w:p>
    <w:bookmarkEnd w:id="4"/>
    <w:bookmarkEnd w:id="15"/>
    <w:p w:rsidR="00F17E02" w:rsidRPr="00553D8B" w:rsidRDefault="00F17E02" w:rsidP="00D0319C">
      <w:pPr>
        <w:pStyle w:val="Heading3"/>
      </w:pPr>
      <w:r w:rsidRPr="00553D8B">
        <w:lastRenderedPageBreak/>
        <w:t>DRC, Rwanda, and Uganda</w:t>
      </w:r>
      <w:r>
        <w:t>’s</w:t>
      </w:r>
      <w:r w:rsidRPr="00553D8B">
        <w:t xml:space="preserve"> </w:t>
      </w:r>
      <w:bookmarkStart w:id="16" w:name="_Hlk116005657"/>
      <w:r>
        <w:t>Conservation policy and lega</w:t>
      </w:r>
      <w:r w:rsidRPr="00553D8B">
        <w:t xml:space="preserve">l </w:t>
      </w:r>
      <w:r>
        <w:t>instruments</w:t>
      </w:r>
      <w:bookmarkEnd w:id="16"/>
    </w:p>
    <w:p w:rsidR="00F17E02" w:rsidRPr="00F37338" w:rsidRDefault="00F17E02" w:rsidP="00F37338">
      <w:pPr>
        <w:pStyle w:val="Heading4"/>
        <w:spacing w:before="0"/>
      </w:pPr>
      <w:bookmarkStart w:id="17" w:name="_Hlk114433398"/>
      <w:bookmarkStart w:id="18" w:name="_Hlk114433324"/>
      <w:r w:rsidRPr="00F37338">
        <w:t>Conservation policy and legal instruments of the DRC</w:t>
      </w:r>
    </w:p>
    <w:bookmarkEnd w:id="17"/>
    <w:p w:rsidR="00F17E02" w:rsidRPr="00CE1A10" w:rsidRDefault="00F17E02" w:rsidP="00D0319C">
      <w:pPr>
        <w:spacing w:line="240" w:lineRule="auto"/>
        <w:rPr>
          <w:rFonts w:ascii="Times New Roman" w:hAnsi="Times New Roman" w:cs="Times New Roman"/>
          <w:sz w:val="24"/>
          <w:szCs w:val="24"/>
        </w:rPr>
      </w:pPr>
      <w:r w:rsidRPr="004129E8">
        <w:rPr>
          <w:rFonts w:ascii="Times New Roman" w:hAnsi="Times New Roman" w:cs="Times New Roman"/>
          <w:sz w:val="24"/>
          <w:szCs w:val="24"/>
        </w:rPr>
        <w:t xml:space="preserve">The roots of Congolese nature conservation policy go back to a number of legislative or regulatory texts from the colonial era. During subsequent years, the need to integrate climate change mitigation and adaptation measures, consideration of the interests of individuals and local communities in the creation and management of PAs, as well as ensuring the economic sustainability of the country, has led to various amendments and the inclusion of new policy instruments. Table </w:t>
      </w:r>
      <w:r w:rsidR="004129E8" w:rsidRPr="004129E8">
        <w:rPr>
          <w:rFonts w:ascii="Times New Roman" w:hAnsi="Times New Roman" w:cs="Times New Roman"/>
          <w:sz w:val="24"/>
          <w:szCs w:val="24"/>
        </w:rPr>
        <w:t>3.</w:t>
      </w:r>
      <w:r w:rsidRPr="004129E8">
        <w:rPr>
          <w:rFonts w:ascii="Times New Roman" w:hAnsi="Times New Roman" w:cs="Times New Roman"/>
          <w:sz w:val="24"/>
          <w:szCs w:val="24"/>
        </w:rPr>
        <w:t>1 recapitulates the major conservation policy instruments of the DRC until this day. In spite of the fact that the DRC has been developing a</w:t>
      </w:r>
      <w:r w:rsidR="00104F81" w:rsidRPr="004129E8">
        <w:rPr>
          <w:rFonts w:ascii="Times New Roman" w:hAnsi="Times New Roman" w:cs="Times New Roman"/>
          <w:sz w:val="24"/>
          <w:szCs w:val="24"/>
        </w:rPr>
        <w:t xml:space="preserve"> comprehensive</w:t>
      </w:r>
      <w:r w:rsidRPr="004129E8">
        <w:rPr>
          <w:rFonts w:ascii="Times New Roman" w:hAnsi="Times New Roman" w:cs="Times New Roman"/>
          <w:sz w:val="24"/>
          <w:szCs w:val="24"/>
        </w:rPr>
        <w:t xml:space="preserve"> legal and regulatory framework pertaining to the environment, the degradation of the environment is still distressing. All efforts invested towards the implementation and enforcement of the above policy documents do not sufficiently bear the expected fruits.</w:t>
      </w:r>
    </w:p>
    <w:p w:rsidR="00913AD0" w:rsidRDefault="00F17E02" w:rsidP="008F575F">
      <w:pPr>
        <w:pStyle w:val="Caption"/>
        <w:keepNext/>
        <w:jc w:val="left"/>
      </w:pPr>
      <w:r>
        <w:t xml:space="preserve">Table </w:t>
      </w:r>
      <w:fldSimple w:instr=" STYLEREF 1 \s ">
        <w:r w:rsidR="008F575F">
          <w:rPr>
            <w:noProof/>
          </w:rPr>
          <w:t>3</w:t>
        </w:r>
      </w:fldSimple>
      <w:r w:rsidR="008F575F">
        <w:t>.</w:t>
      </w:r>
      <w:fldSimple w:instr=" SEQ Table \* ARABIC \s 1 ">
        <w:r w:rsidR="008F575F">
          <w:rPr>
            <w:noProof/>
          </w:rPr>
          <w:t>1</w:t>
        </w:r>
      </w:fldSimple>
      <w:r>
        <w:t xml:space="preserve">. </w:t>
      </w:r>
      <w:r w:rsidRPr="00B40886">
        <w:t>Major conservation policy and legal instruments of the DRC</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483"/>
        <w:gridCol w:w="2325"/>
        <w:gridCol w:w="2496"/>
        <w:gridCol w:w="2082"/>
        <w:gridCol w:w="1640"/>
      </w:tblGrid>
      <w:tr w:rsidR="00BC3879" w:rsidRPr="003E499A" w:rsidTr="00913AD0">
        <w:tc>
          <w:tcPr>
            <w:tcW w:w="483" w:type="dxa"/>
          </w:tcPr>
          <w:p w:rsidR="00F17E02" w:rsidRPr="003E499A" w:rsidRDefault="00F17E02" w:rsidP="00D0319C">
            <w:pPr>
              <w:rPr>
                <w:rFonts w:ascii="Times New Roman" w:hAnsi="Times New Roman" w:cs="Times New Roman"/>
                <w:sz w:val="20"/>
                <w:szCs w:val="20"/>
                <w:lang w:val="en-GB"/>
              </w:rPr>
            </w:pPr>
            <w:bookmarkStart w:id="19" w:name="_Hlk117877881"/>
            <w:r w:rsidRPr="003E499A">
              <w:rPr>
                <w:rFonts w:ascii="Times New Roman" w:hAnsi="Times New Roman" w:cs="Times New Roman"/>
                <w:b/>
                <w:bCs/>
                <w:sz w:val="20"/>
                <w:szCs w:val="20"/>
              </w:rPr>
              <w:t>No</w:t>
            </w:r>
          </w:p>
        </w:tc>
        <w:tc>
          <w:tcPr>
            <w:tcW w:w="2325" w:type="dxa"/>
          </w:tcPr>
          <w:p w:rsidR="00F17E02" w:rsidRPr="003E499A" w:rsidRDefault="00F17E02" w:rsidP="00D0319C">
            <w:pPr>
              <w:rPr>
                <w:rFonts w:ascii="Times New Roman" w:hAnsi="Times New Roman" w:cs="Times New Roman"/>
                <w:sz w:val="20"/>
                <w:szCs w:val="20"/>
                <w:lang w:val="en-GB"/>
              </w:rPr>
            </w:pPr>
            <w:r w:rsidRPr="003E499A">
              <w:rPr>
                <w:rFonts w:ascii="Times New Roman" w:hAnsi="Times New Roman" w:cs="Times New Roman"/>
                <w:b/>
                <w:bCs/>
                <w:sz w:val="20"/>
                <w:szCs w:val="20"/>
              </w:rPr>
              <w:t>Primary piece of legislation/policy</w:t>
            </w:r>
          </w:p>
        </w:tc>
        <w:tc>
          <w:tcPr>
            <w:tcW w:w="2496" w:type="dxa"/>
          </w:tcPr>
          <w:p w:rsidR="00F17E02" w:rsidRPr="003E499A" w:rsidRDefault="00F17E02" w:rsidP="00D0319C">
            <w:pPr>
              <w:rPr>
                <w:rFonts w:ascii="Times New Roman" w:hAnsi="Times New Roman" w:cs="Times New Roman"/>
                <w:sz w:val="20"/>
                <w:szCs w:val="20"/>
                <w:lang w:val="en-GB"/>
              </w:rPr>
            </w:pPr>
            <w:r w:rsidRPr="003E499A">
              <w:rPr>
                <w:rFonts w:ascii="Times New Roman" w:hAnsi="Times New Roman" w:cs="Times New Roman"/>
                <w:b/>
                <w:bCs/>
                <w:sz w:val="20"/>
                <w:szCs w:val="20"/>
              </w:rPr>
              <w:t>Conservation component</w:t>
            </w:r>
          </w:p>
        </w:tc>
        <w:tc>
          <w:tcPr>
            <w:tcW w:w="2082" w:type="dxa"/>
          </w:tcPr>
          <w:p w:rsidR="00F17E02" w:rsidRPr="003E499A" w:rsidRDefault="00F17E02" w:rsidP="00D0319C">
            <w:pPr>
              <w:rPr>
                <w:rFonts w:ascii="Times New Roman" w:hAnsi="Times New Roman" w:cs="Times New Roman"/>
                <w:sz w:val="20"/>
                <w:szCs w:val="20"/>
                <w:lang w:val="en-GB"/>
              </w:rPr>
            </w:pPr>
            <w:r w:rsidRPr="003E499A">
              <w:rPr>
                <w:rFonts w:ascii="Times New Roman" w:hAnsi="Times New Roman" w:cs="Times New Roman"/>
                <w:b/>
                <w:bCs/>
                <w:sz w:val="20"/>
                <w:szCs w:val="20"/>
              </w:rPr>
              <w:t>Weakness</w:t>
            </w:r>
          </w:p>
        </w:tc>
        <w:tc>
          <w:tcPr>
            <w:tcW w:w="1640" w:type="dxa"/>
          </w:tcPr>
          <w:p w:rsidR="00F17E02" w:rsidRPr="003E499A" w:rsidRDefault="00F17E02" w:rsidP="00D0319C">
            <w:pPr>
              <w:rPr>
                <w:rFonts w:ascii="Times New Roman" w:hAnsi="Times New Roman" w:cs="Times New Roman"/>
                <w:b/>
                <w:bCs/>
                <w:sz w:val="20"/>
                <w:szCs w:val="20"/>
              </w:rPr>
            </w:pPr>
            <w:r w:rsidRPr="003E499A">
              <w:rPr>
                <w:rFonts w:ascii="Times New Roman" w:hAnsi="Times New Roman" w:cs="Times New Roman"/>
                <w:b/>
                <w:bCs/>
                <w:sz w:val="20"/>
                <w:szCs w:val="20"/>
              </w:rPr>
              <w:t>Source</w:t>
            </w:r>
          </w:p>
        </w:tc>
      </w:tr>
      <w:bookmarkEnd w:id="19"/>
      <w:tr w:rsidR="00BC3879" w:rsidRPr="003E499A" w:rsidTr="00913AD0">
        <w:tc>
          <w:tcPr>
            <w:tcW w:w="483" w:type="dxa"/>
          </w:tcPr>
          <w:p w:rsidR="00F17E02" w:rsidRPr="003E499A" w:rsidRDefault="00F17E02" w:rsidP="00D0319C">
            <w:pPr>
              <w:rPr>
                <w:rFonts w:ascii="Times New Roman" w:hAnsi="Times New Roman" w:cs="Times New Roman"/>
                <w:sz w:val="20"/>
                <w:szCs w:val="20"/>
                <w:lang w:val="en-GB"/>
              </w:rPr>
            </w:pPr>
            <w:r w:rsidRPr="003E499A">
              <w:rPr>
                <w:rFonts w:ascii="Times New Roman" w:hAnsi="Times New Roman" w:cs="Times New Roman"/>
                <w:sz w:val="20"/>
                <w:szCs w:val="20"/>
                <w:lang w:val="en-GB"/>
              </w:rPr>
              <w:t>1.</w:t>
            </w:r>
          </w:p>
        </w:tc>
        <w:tc>
          <w:tcPr>
            <w:tcW w:w="2325" w:type="dxa"/>
          </w:tcPr>
          <w:p w:rsidR="00F17E02" w:rsidRPr="003E499A" w:rsidRDefault="00F17E02" w:rsidP="00D0319C">
            <w:pPr>
              <w:rPr>
                <w:rFonts w:ascii="Times New Roman" w:hAnsi="Times New Roman" w:cs="Times New Roman"/>
                <w:color w:val="000000" w:themeColor="text1"/>
                <w:sz w:val="18"/>
                <w:szCs w:val="18"/>
                <w:lang w:val="en-GB"/>
              </w:rPr>
            </w:pPr>
            <w:bookmarkStart w:id="20" w:name="_Hlk133509654"/>
            <w:r w:rsidRPr="003E499A">
              <w:rPr>
                <w:rFonts w:ascii="Times New Roman" w:hAnsi="Times New Roman" w:cs="Times New Roman"/>
                <w:color w:val="000000" w:themeColor="text1"/>
                <w:sz w:val="18"/>
                <w:szCs w:val="18"/>
                <w:lang w:val="en-GB"/>
              </w:rPr>
              <w:t>The decree of November 26, 1934 which creates the Institute of National Parks of the Belgian Congo</w:t>
            </w:r>
            <w:bookmarkEnd w:id="20"/>
          </w:p>
        </w:tc>
        <w:tc>
          <w:tcPr>
            <w:tcW w:w="2496"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The decree established the National Parks Institute of the Belgian Congo to manage the increasing number of newly created NPs after the idea of reproduction of American “National Park” idea took shape in the former Belgian Congo.</w:t>
            </w:r>
          </w:p>
        </w:tc>
        <w:tc>
          <w:tcPr>
            <w:tcW w:w="2082" w:type="dxa"/>
          </w:tcPr>
          <w:p w:rsidR="00F17E02" w:rsidRPr="003E499A" w:rsidRDefault="00F17E02" w:rsidP="00D0319C">
            <w:pPr>
              <w:rPr>
                <w:rFonts w:ascii="Times New Roman" w:hAnsi="Times New Roman" w:cs="Times New Roman"/>
                <w:color w:val="000000" w:themeColor="text1"/>
                <w:sz w:val="18"/>
                <w:szCs w:val="18"/>
                <w:lang w:val="en-GB"/>
              </w:rPr>
            </w:pPr>
          </w:p>
        </w:tc>
        <w:tc>
          <w:tcPr>
            <w:tcW w:w="1640"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lang w:val="en-GB"/>
              </w:rPr>
              <w:instrText>ADDIN CSL_CITATION {"citationItems":[{"id":"ITEM-1","itemData":{"DOI":"10.4000/civilisations.1732","ISBN":"2872630945","ISSN":"0009-8140","author":[{"dropping-particle":"","family":"Harroy","given":"Jean-Paul","non-dropping-particle":"","parse-names":false,"suffix":""}],"container-title":"Civilisations","id":"ITEM-1","issue":"41","issued":{"date-parts":[["1934"]]},"page":"427-442","title":"Contribution à l'histoire jusque 1934 de la création de l'institut des parcs nationaux du Congo belge","type":"article-journal"},"uris":["http://www.mendeley.com/documents/?uuid=78c71a0b-28d8-4e1e-896d-2f8df76aae83"]},{"id":"ITEM-2","itemData":{"author":[{"dropping-particle":"","family":"ICCN","given":"","non-dropping-particle":"","parse-names":false,"suffix":""}],"id":"ITEM-2","issued":{"date-parts":[["2011"]]},"number-of-pages":"1-44","title":"Manuel des droits et obligations des parties prenantes dans les aires protégées","type":"book"},"uris":["http://www.mendeley.com/documents/?uuid=472ea57f-8d18-433f-ac47-ec821ec588d9"]},{"id":"ITEM-3","itemData":{"author":[{"dropping-particle":"","family":"ICCN","given":"","non-dropping-particle":"","parse-names":false,"suffix":""}],"id":"ITEM-3","issued":{"date-parts":[["2012"]]},"title":"Strategie nationale de conservation de la biodiversite dans les aires protegees de la Republique Democratique du Congo","type":"report"},"uris":["http://www.mendeley.com/documents/?uuid=7ae8f178-dcb4-40d2-b2d0-511c821a1b3d"]},{"id":"ITEM-4","itemData":{"ISBN":"9781920538057","author":[{"dropping-particle":"","family":"Kihangi","given":"Bindu Kennedy","non-dropping-particle":"","parse-names":false,"suffix":""}],"container-title":"Environmental Law in Africa","id":"ITEM-4","issue":"June","issued":{"date-parts":[["2012"]]},"title":"The environmental law framework of the Democratic Republic of the Congo and the balancing of interest","type":"article-journal"},"uris":["http://www.mendeley.com/documents/?uuid=8179bdf7-f883-4c1b-803e-08b7c25a7e0a"]}],"mendeley":{"formattedCitation":"(Harroy, 1934; ICCN, 2011, 2012; Kihangi, 2012)","plainTextFormattedCitation":"(Harroy, 1934; ICCN, 2011, 2012; Kihangi, 2012)","previouslyFormattedCitation":"(Harroy, 1934; ICCN, 2011, 2012; Kihangi, 2012)"},"properties":{"noteIndex":0},"schema":"https://github.com/citation-style-language/schema/raw/master/csl-citation.json"}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lang w:val="en-GB"/>
              </w:rPr>
              <w:t>(Harroy, 1934; ICCN, 2011, 2012; Kihangi, 2012)</w:t>
            </w:r>
            <w:r w:rsidRPr="003E499A">
              <w:rPr>
                <w:rFonts w:ascii="Times New Roman" w:hAnsi="Times New Roman" w:cs="Times New Roman"/>
                <w:color w:val="000000" w:themeColor="text1"/>
                <w:sz w:val="18"/>
                <w:szCs w:val="18"/>
              </w:rPr>
              <w:fldChar w:fldCharType="end"/>
            </w:r>
          </w:p>
        </w:tc>
      </w:tr>
      <w:tr w:rsidR="00BC3879" w:rsidRPr="003E499A" w:rsidTr="00913AD0">
        <w:tc>
          <w:tcPr>
            <w:tcW w:w="483" w:type="dxa"/>
          </w:tcPr>
          <w:p w:rsidR="00F17E02" w:rsidRPr="003E499A" w:rsidRDefault="00F17E02" w:rsidP="00D0319C">
            <w:pPr>
              <w:rPr>
                <w:rFonts w:ascii="Times New Roman" w:hAnsi="Times New Roman" w:cs="Times New Roman"/>
                <w:sz w:val="20"/>
                <w:szCs w:val="20"/>
                <w:lang w:val="en-GB"/>
              </w:rPr>
            </w:pPr>
            <w:r w:rsidRPr="003E499A">
              <w:rPr>
                <w:rFonts w:ascii="Times New Roman" w:hAnsi="Times New Roman" w:cs="Times New Roman"/>
                <w:sz w:val="20"/>
                <w:szCs w:val="20"/>
                <w:lang w:val="en-GB"/>
              </w:rPr>
              <w:t>2.</w:t>
            </w:r>
          </w:p>
        </w:tc>
        <w:tc>
          <w:tcPr>
            <w:tcW w:w="2325" w:type="dxa"/>
          </w:tcPr>
          <w:p w:rsidR="00F17E02" w:rsidRPr="003E499A" w:rsidRDefault="00F17E02" w:rsidP="00D0319C">
            <w:pPr>
              <w:rPr>
                <w:rFonts w:ascii="Times New Roman" w:hAnsi="Times New Roman" w:cs="Times New Roman"/>
                <w:color w:val="000000" w:themeColor="text1"/>
                <w:sz w:val="18"/>
                <w:szCs w:val="18"/>
                <w:lang w:val="en-GB"/>
              </w:rPr>
            </w:pPr>
            <w:bookmarkStart w:id="21" w:name="_Hlk133509678"/>
            <w:r w:rsidRPr="003E499A">
              <w:rPr>
                <w:rFonts w:ascii="Times New Roman" w:hAnsi="Times New Roman" w:cs="Times New Roman"/>
                <w:color w:val="000000" w:themeColor="text1"/>
                <w:sz w:val="18"/>
                <w:szCs w:val="18"/>
                <w:lang w:val="en-GB"/>
              </w:rPr>
              <w:t>The decree of April 21, 1937 on fishing</w:t>
            </w:r>
            <w:bookmarkEnd w:id="21"/>
          </w:p>
        </w:tc>
        <w:tc>
          <w:tcPr>
            <w:tcW w:w="2496"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Authorizing fishing in territorial waters of DRC with the exception of well-defined private concessions.</w:t>
            </w:r>
          </w:p>
        </w:tc>
        <w:tc>
          <w:tcPr>
            <w:tcW w:w="2082"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This legal text, which dates from the colonial era, is proving ineffective for lack of enforcement measures and seems already outdated.</w:t>
            </w:r>
          </w:p>
        </w:tc>
        <w:tc>
          <w:tcPr>
            <w:tcW w:w="1640"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lang w:val="en-GB"/>
              </w:rPr>
              <w:instrText>ADDIN CSL_CITATION {"citationItems":[{"id":"ITEM-1","itemData":{"ISBN":"0306000210","abstract":"This Biodiversity and Tropical Forest Assessment report has been prepared to provide information and analysis as requested by USAID/DRC, required by the U.S. Congress, and stipulated in the U.S. Foreign Assistance Act (FAA) of 1961. This report updates the 2003 countrywide Environmental Threats and Opportunities Analysis (ETOA) and seeks to provide a concise and targeted assessment to inform the USAID/DRC Mission’s strategic planning, program development, and implementation. This assessment includes: • An overview of the status of biodiversity and tropical forest conservation; • An analysis of threats to biodiversity and tropical forests and underlying causes; • The institutional, policy and legislative framework for environmental management in the DRC; and • Current interventions in the environmental sector, bi- and multilateral donors, non -governmental organizations (NGOs), the private sector and other institutions; and • An examination of how the proposed activities in USAID/DRC’s Country Assistance Strategy (CAS) could contribute to conservation needs and includes recommendations for actions related to the CAS’s goals.","author":[{"dropping-particle":"","family":"Seyler","given":"J R","non-dropping-particle":"","parse-names":false,"suffix":""},{"dropping-particle":"","family":"Thomas","given":"D","non-dropping-particle":"","parse-names":false,"suffix":""},{"dropping-particle":"","family":"Mwanza","given":"N","non-dropping-particle":"","parse-names":false,"suffix":""},{"dropping-particle":"","family":"Mpoyi","given":"A","non-dropping-particle":"","parse-names":false,"suffix":""}],"id":"ITEM-1","issue":"January","issued":{"date-parts":[["2010"]]},"number-of-pages":"-","title":"Democratic Republic of Congo: Biodiversity and tropical forestry assessment (118/119). Final report","type":"book"},"uris":["http://www.mendeley.com/documents/?uuid=8ec076de-7267-42e0-8614-f986b8d66aac"]},{"id":"ITEM-2","itemData":{"author":[{"dropping-particle":"","family":"MECNDD","given":"","non-dropping-particle":"","parse-names":false,"suffix":""}],"id":"ITEM-2","issued":{"date-parts":[["2016"]]},"title":"Strategie et plan d'action nationaux de la biodiversite (2016-2020)","type":"book"},"uris":["http://www.mendeley.com/documents/?uuid=b2194c17-cb9b-44ea-833e-2474c8ec717c"]}],"mendeley":{"formattedCitation":"(Seyler &lt;i&gt;et al.&lt;/i&gt;, 2010; MECNDD, 2016)","plainTextFormattedCitation":"(Seyler et al., 2010; MECNDD, 2016)","previouslyFormattedCitation":"(Seyler &lt;i&gt;et al.&lt;/i&gt;, 2010; MECNDD, 2016)"},"properties":{"noteIndex":0},"schema":"https://github.com/citation-style-language/schema/raw/master/csl-citation.json"}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lang w:val="en-GB"/>
              </w:rPr>
              <w:t xml:space="preserve">(Seyler </w:t>
            </w:r>
            <w:r w:rsidRPr="003E499A">
              <w:rPr>
                <w:rFonts w:ascii="Times New Roman" w:hAnsi="Times New Roman" w:cs="Times New Roman"/>
                <w:i/>
                <w:noProof/>
                <w:color w:val="000000" w:themeColor="text1"/>
                <w:sz w:val="18"/>
                <w:szCs w:val="18"/>
                <w:lang w:val="en-GB"/>
              </w:rPr>
              <w:t>et al.</w:t>
            </w:r>
            <w:r w:rsidRPr="003E499A">
              <w:rPr>
                <w:rFonts w:ascii="Times New Roman" w:hAnsi="Times New Roman" w:cs="Times New Roman"/>
                <w:noProof/>
                <w:color w:val="000000" w:themeColor="text1"/>
                <w:sz w:val="18"/>
                <w:szCs w:val="18"/>
                <w:lang w:val="en-GB"/>
              </w:rPr>
              <w:t>, 2010; MECNDD, 2016)</w:t>
            </w:r>
            <w:r w:rsidRPr="003E499A">
              <w:rPr>
                <w:rFonts w:ascii="Times New Roman" w:hAnsi="Times New Roman" w:cs="Times New Roman"/>
                <w:color w:val="000000" w:themeColor="text1"/>
                <w:sz w:val="18"/>
                <w:szCs w:val="18"/>
              </w:rPr>
              <w:fldChar w:fldCharType="end"/>
            </w:r>
          </w:p>
        </w:tc>
      </w:tr>
      <w:tr w:rsidR="00BC3879" w:rsidRPr="003E499A" w:rsidTr="00913AD0">
        <w:tc>
          <w:tcPr>
            <w:tcW w:w="483" w:type="dxa"/>
          </w:tcPr>
          <w:p w:rsidR="00F17E02" w:rsidRPr="003E499A" w:rsidRDefault="00F17E02" w:rsidP="00D0319C">
            <w:pPr>
              <w:rPr>
                <w:rFonts w:ascii="Times New Roman" w:hAnsi="Times New Roman" w:cs="Times New Roman"/>
                <w:sz w:val="20"/>
                <w:szCs w:val="20"/>
                <w:lang w:val="en-GB"/>
              </w:rPr>
            </w:pPr>
            <w:r w:rsidRPr="003E499A">
              <w:rPr>
                <w:rFonts w:ascii="Times New Roman" w:hAnsi="Times New Roman" w:cs="Times New Roman"/>
                <w:sz w:val="20"/>
                <w:szCs w:val="20"/>
                <w:lang w:val="en-GB"/>
              </w:rPr>
              <w:t>3.</w:t>
            </w:r>
          </w:p>
        </w:tc>
        <w:tc>
          <w:tcPr>
            <w:tcW w:w="2325" w:type="dxa"/>
          </w:tcPr>
          <w:p w:rsidR="00F17E02" w:rsidRPr="003E499A" w:rsidRDefault="00F17E02" w:rsidP="00D0319C">
            <w:pPr>
              <w:rPr>
                <w:rFonts w:ascii="Times New Roman" w:hAnsi="Times New Roman" w:cs="Times New Roman"/>
                <w:color w:val="000000" w:themeColor="text1"/>
                <w:sz w:val="18"/>
                <w:szCs w:val="18"/>
                <w:lang w:val="en-GB"/>
              </w:rPr>
            </w:pPr>
            <w:bookmarkStart w:id="22" w:name="_Hlk133509693"/>
            <w:r w:rsidRPr="003E499A">
              <w:rPr>
                <w:rFonts w:ascii="Times New Roman" w:hAnsi="Times New Roman" w:cs="Times New Roman"/>
                <w:color w:val="000000" w:themeColor="text1"/>
                <w:sz w:val="18"/>
                <w:szCs w:val="18"/>
                <w:lang w:val="en-GB"/>
              </w:rPr>
              <w:t>Ordinance-laws nº</w:t>
            </w:r>
            <w:r w:rsidR="00803637">
              <w:rPr>
                <w:rFonts w:ascii="Times New Roman" w:hAnsi="Times New Roman" w:cs="Times New Roman"/>
                <w:color w:val="000000" w:themeColor="text1"/>
                <w:sz w:val="18"/>
                <w:szCs w:val="18"/>
                <w:lang w:val="en-GB"/>
              </w:rPr>
              <w:t xml:space="preserve"> </w:t>
            </w:r>
            <w:r w:rsidRPr="003E499A">
              <w:rPr>
                <w:rFonts w:ascii="Times New Roman" w:hAnsi="Times New Roman" w:cs="Times New Roman"/>
                <w:color w:val="000000" w:themeColor="text1"/>
                <w:sz w:val="18"/>
                <w:szCs w:val="18"/>
                <w:lang w:val="en-GB"/>
              </w:rPr>
              <w:t>52-444 of October 21, 1958 establishing the corps of national park guards</w:t>
            </w:r>
            <w:bookmarkEnd w:id="22"/>
          </w:p>
        </w:tc>
        <w:tc>
          <w:tcPr>
            <w:tcW w:w="2496"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The corps of rangers aimed to ensure the protection of PAs and support the fight against poaching and wildlife crime across the country.</w:t>
            </w:r>
          </w:p>
        </w:tc>
        <w:tc>
          <w:tcPr>
            <w:tcW w:w="2082" w:type="dxa"/>
          </w:tcPr>
          <w:p w:rsidR="00F17E02" w:rsidRPr="003E499A" w:rsidRDefault="00F17E02" w:rsidP="00D0319C">
            <w:pPr>
              <w:rPr>
                <w:rFonts w:ascii="Times New Roman" w:hAnsi="Times New Roman" w:cs="Times New Roman"/>
                <w:color w:val="000000" w:themeColor="text1"/>
                <w:sz w:val="18"/>
                <w:szCs w:val="18"/>
                <w:lang w:val="en-GB"/>
              </w:rPr>
            </w:pPr>
          </w:p>
        </w:tc>
        <w:tc>
          <w:tcPr>
            <w:tcW w:w="1640" w:type="dxa"/>
          </w:tcPr>
          <w:p w:rsidR="00F17E02" w:rsidRPr="003E499A" w:rsidRDefault="00F17E02" w:rsidP="00D0319C">
            <w:pPr>
              <w:rPr>
                <w:rFonts w:ascii="Times New Roman" w:hAnsi="Times New Roman" w:cs="Times New Roman"/>
                <w:color w:val="000000" w:themeColor="text1"/>
                <w:sz w:val="18"/>
                <w:szCs w:val="18"/>
                <w:lang w:val="fr-FR"/>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lang w:val="fr-FR"/>
              </w:rPr>
              <w:instrText>ADDIN CSL_CITATION {"citationItems":[{"id":"ITEM-1","itemData":{"author":[{"dropping-particle":"","family":"Présidence de la République","given":"","non-dropping-particle":"","parse-names":false,"suffix":""}],"id":"ITEM-1","issued":{"date-parts":[["1969"]]},"title":"Ordonnance-loi no 69-041 du 22 aout 1969 relative a la conservation de la nature","type":"article"},"uris":["http://www.mendeley.com/documents/?uuid=a4bdd22a-ab63-46d6-8944-c29280a27320"]}],"mendeley":{"formattedCitation":"(Présidence de la République, 1969)","plainTextFormattedCitation":"(Présidence de la République, 1969)","previouslyFormattedCitation":"(Présidence de la République, 1969)"},"properties":{"noteIndex":0},"schema":"https://github.com/citation-style-language/schema/raw/master/csl-citation.json"}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lang w:val="fr-FR"/>
              </w:rPr>
              <w:t>(Présidence de la République, 1969)</w:t>
            </w:r>
            <w:r w:rsidRPr="003E499A">
              <w:rPr>
                <w:rFonts w:ascii="Times New Roman" w:hAnsi="Times New Roman" w:cs="Times New Roman"/>
                <w:color w:val="000000" w:themeColor="text1"/>
                <w:sz w:val="18"/>
                <w:szCs w:val="18"/>
              </w:rPr>
              <w:fldChar w:fldCharType="end"/>
            </w:r>
          </w:p>
        </w:tc>
      </w:tr>
      <w:tr w:rsidR="00BC3879" w:rsidRPr="0050716C" w:rsidTr="00913AD0">
        <w:tc>
          <w:tcPr>
            <w:tcW w:w="483" w:type="dxa"/>
          </w:tcPr>
          <w:p w:rsidR="00F17E02" w:rsidRPr="003E499A" w:rsidRDefault="00F17E02" w:rsidP="00D0319C">
            <w:pPr>
              <w:rPr>
                <w:rFonts w:ascii="Times New Roman" w:hAnsi="Times New Roman" w:cs="Times New Roman"/>
                <w:sz w:val="20"/>
                <w:szCs w:val="20"/>
                <w:lang w:val="en-GB"/>
              </w:rPr>
            </w:pPr>
            <w:r w:rsidRPr="003E499A">
              <w:rPr>
                <w:rFonts w:ascii="Times New Roman" w:hAnsi="Times New Roman" w:cs="Times New Roman"/>
                <w:sz w:val="20"/>
                <w:szCs w:val="20"/>
                <w:lang w:val="en-GB"/>
              </w:rPr>
              <w:t>4.</w:t>
            </w:r>
          </w:p>
        </w:tc>
        <w:tc>
          <w:tcPr>
            <w:tcW w:w="2325" w:type="dxa"/>
          </w:tcPr>
          <w:p w:rsidR="00F17E02" w:rsidRPr="003E499A" w:rsidRDefault="00F17E02" w:rsidP="00D0319C">
            <w:pPr>
              <w:rPr>
                <w:rFonts w:ascii="Times New Roman" w:hAnsi="Times New Roman" w:cs="Times New Roman"/>
                <w:color w:val="000000" w:themeColor="text1"/>
                <w:sz w:val="18"/>
                <w:szCs w:val="18"/>
                <w:lang w:val="en-GB"/>
              </w:rPr>
            </w:pPr>
            <w:bookmarkStart w:id="23" w:name="_Hlk133509717"/>
            <w:r w:rsidRPr="003E499A">
              <w:rPr>
                <w:rFonts w:ascii="Times New Roman" w:hAnsi="Times New Roman" w:cs="Times New Roman"/>
                <w:color w:val="000000" w:themeColor="text1"/>
                <w:sz w:val="18"/>
                <w:szCs w:val="18"/>
                <w:lang w:val="en-GB"/>
              </w:rPr>
              <w:t>Ordinance-laws nº 67-514 of December 1, 1967 establishing the Institute of National Parks in Congo</w:t>
            </w:r>
            <w:bookmarkEnd w:id="23"/>
          </w:p>
        </w:tc>
        <w:tc>
          <w:tcPr>
            <w:tcW w:w="2496"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The law amputates the terminologies of colonial times while keeping the same objective for the Institute of National Parks of Congo.</w:t>
            </w:r>
          </w:p>
        </w:tc>
        <w:tc>
          <w:tcPr>
            <w:tcW w:w="2082" w:type="dxa"/>
          </w:tcPr>
          <w:p w:rsidR="00F17E02" w:rsidRPr="003E499A" w:rsidRDefault="00F17E02" w:rsidP="00D0319C">
            <w:pPr>
              <w:rPr>
                <w:rFonts w:ascii="Times New Roman" w:hAnsi="Times New Roman" w:cs="Times New Roman"/>
                <w:color w:val="000000" w:themeColor="text1"/>
                <w:sz w:val="18"/>
                <w:szCs w:val="18"/>
                <w:lang w:val="en-GB"/>
              </w:rPr>
            </w:pPr>
          </w:p>
        </w:tc>
        <w:tc>
          <w:tcPr>
            <w:tcW w:w="1640" w:type="dxa"/>
          </w:tcPr>
          <w:p w:rsidR="00F17E02" w:rsidRPr="003E499A" w:rsidRDefault="00F17E02" w:rsidP="00D0319C">
            <w:pPr>
              <w:rPr>
                <w:rFonts w:ascii="Times New Roman" w:hAnsi="Times New Roman" w:cs="Times New Roman"/>
                <w:color w:val="000000" w:themeColor="text1"/>
                <w:sz w:val="18"/>
                <w:szCs w:val="18"/>
                <w:lang w:val="fr-FR"/>
              </w:rPr>
            </w:pPr>
            <w:r w:rsidRPr="003E499A">
              <w:rPr>
                <w:rFonts w:ascii="Times New Roman" w:hAnsi="Times New Roman" w:cs="Times New Roman"/>
                <w:color w:val="000000" w:themeColor="text1"/>
                <w:sz w:val="18"/>
                <w:szCs w:val="18"/>
                <w:lang w:val="fr-FR"/>
              </w:rPr>
              <w:fldChar w:fldCharType="begin" w:fldLock="1"/>
            </w:r>
            <w:r w:rsidRPr="003E499A">
              <w:rPr>
                <w:rFonts w:ascii="Times New Roman" w:hAnsi="Times New Roman" w:cs="Times New Roman"/>
                <w:color w:val="000000" w:themeColor="text1"/>
                <w:sz w:val="18"/>
                <w:szCs w:val="18"/>
                <w:lang w:val="fr-FR"/>
              </w:rPr>
              <w:instrText>ADDIN CSL_CITATION {"citationItems":[{"id":"ITEM-1","itemData":{"author":[{"dropping-particle":"","family":"Présidence de la République","given":"","non-dropping-particle":"","parse-names":false,"suffix":""}],"id":"ITEM-1","issued":{"date-parts":[["1969"]]},"title":"Ordonnance-loi no 69-041 du 22 aout 1969 relative a la conservation de la nature","type":"article"},"uris":["http://www.mendeley.com/documents/?uuid=a4bdd22a-ab63-46d6-8944-c29280a27320"]},{"id":"ITEM-2","itemData":{"author":[{"dropping-particle":"","family":"ICCN","given":"","non-dropping-particle":"","parse-names":false,"suffix":""}],"id":"ITEM-2","issued":{"date-parts":[["2011"]]},"number-of-pages":"1-44","title":"Manuel des droits et obligations des parties prenantes dans les aires protégées","type":"book"},"uris":["http://www.mendeley.com/documents/?uuid=472ea57f-8d18-433f-ac47-ec821ec588d9"]},{"id":"ITEM-3","itemData":{"author":[{"dropping-particle":"","family":"ICCN","given":"","non-dropping-particle":"","parse-names":false,"suffix":""}],"id":"ITEM-3","issued":{"date-parts":[["2012"]]},"title":"Strategie nationale de conservation de la biodiversite dans les aires protegees de la Republique Democratique du Congo","type":"report"},"uris":["http://www.mendeley.com/documents/?uuid=7ae8f178-dcb4-40d2-b2d0-511c821a1b3d"]}],"mendeley":{"formattedCitation":"(Présidence de la République, 1969; ICCN, 2011, 2012)","plainTextFormattedCitation":"(Présidence de la République, 1969; ICCN, 2011, 2012)","previouslyFormattedCitation":"(Présidence de la République, 1969; ICCN, 2011, 2012)"},"properties":{"noteIndex":0},"schema":"https://github.com/citation-style-language/schema/raw/master/csl-citation.json"}</w:instrText>
            </w:r>
            <w:r w:rsidRPr="003E499A">
              <w:rPr>
                <w:rFonts w:ascii="Times New Roman" w:hAnsi="Times New Roman" w:cs="Times New Roman"/>
                <w:color w:val="000000" w:themeColor="text1"/>
                <w:sz w:val="18"/>
                <w:szCs w:val="18"/>
                <w:lang w:val="fr-FR"/>
              </w:rPr>
              <w:fldChar w:fldCharType="separate"/>
            </w:r>
            <w:r w:rsidRPr="003E499A">
              <w:rPr>
                <w:rFonts w:ascii="Times New Roman" w:hAnsi="Times New Roman" w:cs="Times New Roman"/>
                <w:noProof/>
                <w:color w:val="000000" w:themeColor="text1"/>
                <w:sz w:val="18"/>
                <w:szCs w:val="18"/>
                <w:lang w:val="fr-FR"/>
              </w:rPr>
              <w:t>(Présidence de la République, 1969; ICCN, 2011, 2012)</w:t>
            </w:r>
            <w:r w:rsidRPr="003E499A">
              <w:rPr>
                <w:rFonts w:ascii="Times New Roman" w:hAnsi="Times New Roman" w:cs="Times New Roman"/>
                <w:color w:val="000000" w:themeColor="text1"/>
                <w:sz w:val="18"/>
                <w:szCs w:val="18"/>
                <w:lang w:val="fr-FR"/>
              </w:rPr>
              <w:fldChar w:fldCharType="end"/>
            </w:r>
          </w:p>
        </w:tc>
      </w:tr>
      <w:tr w:rsidR="00BC3879" w:rsidRPr="008F575F" w:rsidTr="00913AD0">
        <w:tc>
          <w:tcPr>
            <w:tcW w:w="483" w:type="dxa"/>
          </w:tcPr>
          <w:p w:rsidR="00F17E02" w:rsidRPr="003E499A" w:rsidRDefault="00F17E02" w:rsidP="00D0319C">
            <w:pPr>
              <w:rPr>
                <w:rFonts w:ascii="Times New Roman" w:hAnsi="Times New Roman" w:cs="Times New Roman"/>
                <w:sz w:val="20"/>
                <w:szCs w:val="20"/>
                <w:lang w:val="en-GB"/>
              </w:rPr>
            </w:pPr>
            <w:r w:rsidRPr="003E499A">
              <w:rPr>
                <w:rFonts w:ascii="Times New Roman" w:hAnsi="Times New Roman" w:cs="Times New Roman"/>
                <w:sz w:val="20"/>
                <w:szCs w:val="20"/>
                <w:lang w:val="en-GB"/>
              </w:rPr>
              <w:t xml:space="preserve">5. </w:t>
            </w:r>
          </w:p>
        </w:tc>
        <w:tc>
          <w:tcPr>
            <w:tcW w:w="2325" w:type="dxa"/>
          </w:tcPr>
          <w:p w:rsidR="00F17E02" w:rsidRPr="003E499A" w:rsidRDefault="00F17E02" w:rsidP="00D0319C">
            <w:pPr>
              <w:rPr>
                <w:rFonts w:ascii="Times New Roman" w:hAnsi="Times New Roman" w:cs="Times New Roman"/>
                <w:color w:val="000000" w:themeColor="text1"/>
                <w:sz w:val="18"/>
                <w:szCs w:val="18"/>
                <w:lang w:val="en-GB"/>
              </w:rPr>
            </w:pPr>
            <w:bookmarkStart w:id="24" w:name="_Hlk133509758"/>
            <w:r w:rsidRPr="003E499A">
              <w:rPr>
                <w:rFonts w:ascii="Times New Roman" w:hAnsi="Times New Roman" w:cs="Times New Roman"/>
                <w:color w:val="000000" w:themeColor="text1"/>
                <w:sz w:val="18"/>
                <w:szCs w:val="18"/>
                <w:lang w:val="en-GB"/>
              </w:rPr>
              <w:t>Ordinance-law n°</w:t>
            </w:r>
            <w:r w:rsidR="00803637">
              <w:rPr>
                <w:rFonts w:ascii="Times New Roman" w:hAnsi="Times New Roman" w:cs="Times New Roman"/>
                <w:color w:val="000000" w:themeColor="text1"/>
                <w:sz w:val="18"/>
                <w:szCs w:val="18"/>
                <w:lang w:val="en-GB"/>
              </w:rPr>
              <w:t xml:space="preserve"> </w:t>
            </w:r>
            <w:r w:rsidRPr="003E499A">
              <w:rPr>
                <w:rFonts w:ascii="Times New Roman" w:hAnsi="Times New Roman" w:cs="Times New Roman"/>
                <w:color w:val="000000" w:themeColor="text1"/>
                <w:sz w:val="18"/>
                <w:szCs w:val="18"/>
                <w:lang w:val="en-GB"/>
              </w:rPr>
              <w:t>69-041 of August 22, 1969 relating to the conservation of nature</w:t>
            </w:r>
            <w:bookmarkEnd w:id="24"/>
          </w:p>
        </w:tc>
        <w:tc>
          <w:tcPr>
            <w:tcW w:w="2496"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This ordinance-law lays down provisions and regulation relating to PAs. It also establishes the Nature Conservation Institute of the DRC and provisions relating to its structure and organization.</w:t>
            </w:r>
          </w:p>
        </w:tc>
        <w:tc>
          <w:tcPr>
            <w:tcW w:w="2082"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It is silent on the ways and means of sensitizing and involving local population as well as public and private actors into PAs management.</w:t>
            </w:r>
          </w:p>
        </w:tc>
        <w:tc>
          <w:tcPr>
            <w:tcW w:w="1640" w:type="dxa"/>
          </w:tcPr>
          <w:p w:rsidR="00F17E02" w:rsidRPr="008F575F"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fr-FR"/>
              </w:rPr>
              <w:fldChar w:fldCharType="begin" w:fldLock="1"/>
            </w:r>
            <w:r w:rsidRPr="003E499A">
              <w:rPr>
                <w:rFonts w:ascii="Times New Roman" w:hAnsi="Times New Roman" w:cs="Times New Roman"/>
                <w:color w:val="000000" w:themeColor="text1"/>
                <w:sz w:val="18"/>
                <w:szCs w:val="18"/>
                <w:lang w:val="fr-FR"/>
              </w:rPr>
              <w:instrText>ADDIN CSL_CITATION {"citationItems":[{"id":"ITEM-1","itemData":{"author":[{"dropping-particle":"","family":"Présidence de la République","given":"","non-dropping-particle":"","parse-names":false,"suffix":""}],"id":"ITEM-1","issued":{"date-parts":[["1969"]]},"title":"Ordonnance-loi no 69-041 du 22 aout 1969 relative a la conservation de la nature","type":"article"},"uris":["http://www.mendeley.com/documents/?uuid=a4bdd22a-ab63-46d6-8944-c29280a27320"]},{"id":"ITEM-2","itemData":{"ISBN":"0306000210","abstract":"This Biodiversity and Tropical Forest Assessment report has been prepared to provide information and analysis as requested by USAID/DRC, required by the U.S. Congress, and stipulated in the U.S. Foreign Assistance Act (FAA) of 1961. This report updates the 2003 countrywide Environmental Threats and Opportunities Analysis (ETOA) and seeks to provide a concise and targeted assessment to inform the USAID/DRC Mission’s strategic planning, program development, and implementation. This assessment includes: • An overview of the status of biodiversity and tropical forest conservation; • An analysis of threats to biodiversity and tropical forests and underlying causes; • The institutional, policy and legislative framework for environmental management in the DRC; and • Current interventions in the environmental sector, bi- and multilateral donors, non -governmental organizations (NGOs), the private sector and other institutions; and • An examination of how the proposed activities in USAID/DRC’s Country Assistance Strategy (CAS) could contribute to conservation needs and includes recommendations for actions related to the CAS’s goals.","author":[{"dropping-particle":"","family":"Seyler","given":"J R","non-dropping-particle":"","parse-names":false,"suffix":""},{"dropping-particle":"","family":"Thomas","given":"D","non-dropping-particle":"","parse-names":false,"suffix":""},{"dropping-particle":"","family":"Mwanza","given":"N","non-dropping-particle":"","parse-names":false,"suffix":""},{"dropping-particle":"","family":"Mpoyi","given":"A","non-dropping-particle":"","parse-names":false,"suffix":""}],"id":"ITEM-2","issue":"January","issued":{"date-parts":[["2010"]]},"number-of-pages":"-","title":"Democratic Republic of Congo: Biodiversity and tropical forestry assessment (118/119). Final report","type":"book"},"uris":["http://www.mendeley.com/documents/?uuid=8ec076de-7267-42e0-8614-f986b8d66aac"]},{"id":"ITEM-3","itemData":{"author":[{"dropping-particle":"","family":"ICCN","given":"","non-dropping-particle":"","parse-names":false,"suffix":""}],"id":"ITEM-3","issued":{"date-parts":[["2011"]]},"number-of-pages":"1-44","title":"Manuel des droits et obligations des parties prenantes dans les aires protégées","type":"book"},"uris":["http://www.mendeley.com/documents/?uuid=472ea57f-8d18-433f-ac47-ec821ec588d9"]},{"id":"ITEM-4","itemData":{"author":[{"dropping-particle":"","family":"ICCN","given":"","non-dropping-particle":"","parse-names":false,"suffix":""}],"id":"ITEM-4","issued":{"date-parts":[["2012"]]},"title":"Strategie nationale de conservation de la biodiversite dans les aires protegees de la Republique Democratique du Congo","type":"report"},"uris":["http://www.mendeley.com/documents/?uuid=7ae8f178-dcb4-40d2-b2d0-511c821a1b3d"]},{"id":"ITEM-5","itemData":{"author":[{"dropping-particle":"","family":"Palais du peuple","given":"","non-dropping-particle":"","parse-names":false,"suffix":""}],"id":"ITEM-5","issued":{"date-parts":[["2014"]]},"title":"Loi relative à la conservation de la nature","type":"legislation"},"uris":["http://www.mendeley.com/documents/?uuid=516f9ba3-361d-40fe-8d14-7790503bc3d6"]},{"id":"ITEM-6","itemData":{"author":[{"dropping-particle":"","family":"Kihangi","given":"Bindu Kennedy","non-dropping-particle":"","parse-names":false,"suffix":""}],"container-title":"IUCN Academy of Environmental Law E-Journal","id":"ITEM-6","issue":"November","issued":{"date-parts":[["2016"]]},"page":"205-212","title":"Country Report: Democratic Republic of Congo","type":"article-journal","volume":"1"},"uris":["http://www.mendeley.com/documents/?uuid=f10cad38-8b66-4238-b3d5-c2a043259af3"]},{"id":"ITEM-7","itemData":{"author":[{"dropping-particle":"","family":"Pyhälä","given":"Aili","non-dropping-particle":"","parse-names":false,"suffix":""},{"dropping-particle":"","family":"Orozco","given":"Ana Osuna","non-dropping-particle":"","parse-names":false,"suffix":""},{"dropping-particle":"","family":"Counsell","given":"Simon","non-dropping-particle":"","parse-names":false,"suffix":""}],"id":"ITEM-7","issue":"April","issued":{"date-parts":[["2016"]]},"title":"Protected areas in the Congo Basin: Failing bot</w:instrText>
            </w:r>
            <w:r w:rsidRPr="008F575F">
              <w:rPr>
                <w:rFonts w:ascii="Times New Roman" w:hAnsi="Times New Roman" w:cs="Times New Roman"/>
                <w:color w:val="000000" w:themeColor="text1"/>
                <w:sz w:val="18"/>
                <w:szCs w:val="18"/>
                <w:lang w:val="en-GB"/>
              </w:rPr>
              <w:instrText>h people and biodiversity?","type":"article-journal"},"uris":["http://www.mendeley.com/documents/?uuid=f9297951-d92d-4350-b1a2-6f8873c5e0af"]},{"id":"ITEM-8","itemData":{"author":[{"dropping-particle":"","family":"Koné","given":"Lassana","non-dropping-particle":"","parse-names":false,"suffix":""},{"dropping-particle":"","family":"Mukumba","given":"Pacifque","non-dropping-particle":"","parse-names":false,"suffix":""}],"id":"ITEM-8","issued":{"date-parts":[["2018"]]},"number-of-pages":"1-57","title":"La Conservation et les droits des communautés locales et des peuples autochtones en République Démocratique du Congo : Note de Plaidoyer","type":"report"},"uris":["http://www.mendeley.com/documents/?uuid=636a0b39-64a1-409e-9830-385cb096491b"]}],"mendeley":{"formattedCitation":"(Présidence de la République, 1969; Seyler &lt;i&gt;et al.&lt;/i&gt;, 2010; ICCN, 2011, 2012; Palais du peuple, 2014; Kihangi, 2016; Pyhälä, Orozco and Counsell, 2016; Koné and Mukumba, 2018)","plainTextFormattedCitation":"(Présidence de la République, 1969; Seyler et al., 2010; ICCN, 2011, 2012; Palais du peuple, 2014; Kihangi, 2016; Pyhälä, Orozco and Counsell, 2016; Koné and Mukumba, 2018)","previouslyFormattedCitation":"(Présidence de la République, 1969; Seyler &lt;i&gt;et al.&lt;/i&gt;, 2010; ICCN, 2011, 2012; Palais du peuple, 2014; Kihangi, 2016; Pyhälä, Orozco and Counsell, 2016; Koné and Mukumba, 2018)"},"properties":{"noteIndex":0},"schema":"https://github.com/citation-style-language/schema/raw/master/csl-citation.json"}</w:instrText>
            </w:r>
            <w:r w:rsidRPr="003E499A">
              <w:rPr>
                <w:rFonts w:ascii="Times New Roman" w:hAnsi="Times New Roman" w:cs="Times New Roman"/>
                <w:color w:val="000000" w:themeColor="text1"/>
                <w:sz w:val="18"/>
                <w:szCs w:val="18"/>
                <w:lang w:val="fr-FR"/>
              </w:rPr>
              <w:fldChar w:fldCharType="separate"/>
            </w:r>
            <w:r w:rsidRPr="008F575F">
              <w:rPr>
                <w:rFonts w:ascii="Times New Roman" w:hAnsi="Times New Roman" w:cs="Times New Roman"/>
                <w:noProof/>
                <w:color w:val="000000" w:themeColor="text1"/>
                <w:sz w:val="18"/>
                <w:szCs w:val="18"/>
                <w:lang w:val="en-GB"/>
              </w:rPr>
              <w:t xml:space="preserve">(Présidence de la République, 1969; Seyler </w:t>
            </w:r>
            <w:r w:rsidRPr="008F575F">
              <w:rPr>
                <w:rFonts w:ascii="Times New Roman" w:hAnsi="Times New Roman" w:cs="Times New Roman"/>
                <w:i/>
                <w:noProof/>
                <w:color w:val="000000" w:themeColor="text1"/>
                <w:sz w:val="18"/>
                <w:szCs w:val="18"/>
                <w:lang w:val="en-GB"/>
              </w:rPr>
              <w:t>et al.</w:t>
            </w:r>
            <w:r w:rsidRPr="008F575F">
              <w:rPr>
                <w:rFonts w:ascii="Times New Roman" w:hAnsi="Times New Roman" w:cs="Times New Roman"/>
                <w:noProof/>
                <w:color w:val="000000" w:themeColor="text1"/>
                <w:sz w:val="18"/>
                <w:szCs w:val="18"/>
                <w:lang w:val="en-GB"/>
              </w:rPr>
              <w:t>, 2010; ICCN, 2011, 2012; Palais du peuple, 2014; Kihangi, 2016; Pyhälä, Orozco and Counsell, 2016; Koné and Mukumba, 2018)</w:t>
            </w:r>
            <w:r w:rsidRPr="003E499A">
              <w:rPr>
                <w:rFonts w:ascii="Times New Roman" w:hAnsi="Times New Roman" w:cs="Times New Roman"/>
                <w:color w:val="000000" w:themeColor="text1"/>
                <w:sz w:val="18"/>
                <w:szCs w:val="18"/>
                <w:lang w:val="fr-FR"/>
              </w:rPr>
              <w:fldChar w:fldCharType="end"/>
            </w:r>
          </w:p>
        </w:tc>
      </w:tr>
      <w:tr w:rsidR="00BC3879" w:rsidRPr="00EC31B9" w:rsidTr="00913AD0">
        <w:tc>
          <w:tcPr>
            <w:tcW w:w="483" w:type="dxa"/>
          </w:tcPr>
          <w:p w:rsidR="00F17E02" w:rsidRPr="008F575F" w:rsidRDefault="00F17E02" w:rsidP="00D0319C">
            <w:pPr>
              <w:rPr>
                <w:rFonts w:ascii="Times New Roman" w:hAnsi="Times New Roman" w:cs="Times New Roman"/>
                <w:sz w:val="20"/>
                <w:szCs w:val="20"/>
                <w:lang w:val="en-GB"/>
              </w:rPr>
            </w:pPr>
            <w:r w:rsidRPr="008F575F">
              <w:rPr>
                <w:rFonts w:ascii="Times New Roman" w:hAnsi="Times New Roman" w:cs="Times New Roman"/>
                <w:sz w:val="20"/>
                <w:szCs w:val="20"/>
                <w:lang w:val="en-GB"/>
              </w:rPr>
              <w:t xml:space="preserve">6. </w:t>
            </w:r>
          </w:p>
        </w:tc>
        <w:tc>
          <w:tcPr>
            <w:tcW w:w="2325" w:type="dxa"/>
          </w:tcPr>
          <w:p w:rsidR="00F17E02" w:rsidRPr="008F575F" w:rsidRDefault="00F17E02" w:rsidP="00D0319C">
            <w:pPr>
              <w:rPr>
                <w:rFonts w:ascii="Times New Roman" w:hAnsi="Times New Roman" w:cs="Times New Roman"/>
                <w:color w:val="000000" w:themeColor="text1"/>
                <w:sz w:val="18"/>
                <w:szCs w:val="18"/>
                <w:lang w:val="en-GB"/>
              </w:rPr>
            </w:pPr>
            <w:bookmarkStart w:id="25" w:name="_Hlk133509801"/>
            <w:r w:rsidRPr="008F575F">
              <w:rPr>
                <w:rFonts w:ascii="Times New Roman" w:hAnsi="Times New Roman" w:cs="Times New Roman"/>
                <w:color w:val="000000" w:themeColor="text1"/>
                <w:sz w:val="18"/>
                <w:szCs w:val="18"/>
                <w:lang w:val="en-GB"/>
              </w:rPr>
              <w:t>Law No. 75-024 of July 22, 1975 on the creation of sanctuary areas</w:t>
            </w:r>
            <w:bookmarkEnd w:id="25"/>
          </w:p>
        </w:tc>
        <w:tc>
          <w:tcPr>
            <w:tcW w:w="2496" w:type="dxa"/>
          </w:tcPr>
          <w:p w:rsidR="00F17E02" w:rsidRPr="008F575F" w:rsidRDefault="00F17E02" w:rsidP="00D0319C">
            <w:pPr>
              <w:rPr>
                <w:rFonts w:ascii="Times New Roman" w:hAnsi="Times New Roman" w:cs="Times New Roman"/>
                <w:color w:val="000000" w:themeColor="text1"/>
                <w:sz w:val="18"/>
                <w:szCs w:val="18"/>
                <w:lang w:val="en-GB"/>
              </w:rPr>
            </w:pPr>
            <w:r w:rsidRPr="008F575F">
              <w:rPr>
                <w:rFonts w:ascii="Times New Roman" w:hAnsi="Times New Roman" w:cs="Times New Roman"/>
                <w:color w:val="000000" w:themeColor="text1"/>
                <w:sz w:val="18"/>
                <w:szCs w:val="18"/>
                <w:lang w:val="en-GB"/>
              </w:rPr>
              <w:t>The law allows the protection of any part of the national territory presenting conservation or restoration interests as long as it is not covered by an urban plan.</w:t>
            </w:r>
          </w:p>
        </w:tc>
        <w:tc>
          <w:tcPr>
            <w:tcW w:w="2082" w:type="dxa"/>
          </w:tcPr>
          <w:p w:rsidR="00F17E02" w:rsidRPr="008F575F" w:rsidRDefault="00F17E02" w:rsidP="00D0319C">
            <w:pPr>
              <w:rPr>
                <w:rFonts w:ascii="Times New Roman" w:hAnsi="Times New Roman" w:cs="Times New Roman"/>
                <w:color w:val="000000" w:themeColor="text1"/>
                <w:sz w:val="18"/>
                <w:szCs w:val="18"/>
                <w:lang w:val="en-GB"/>
              </w:rPr>
            </w:pPr>
            <w:r w:rsidRPr="008F575F">
              <w:rPr>
                <w:rFonts w:ascii="Times New Roman" w:hAnsi="Times New Roman" w:cs="Times New Roman"/>
                <w:color w:val="000000" w:themeColor="text1"/>
                <w:sz w:val="18"/>
                <w:szCs w:val="18"/>
                <w:lang w:val="en-GB"/>
              </w:rPr>
              <w:t xml:space="preserve">Does not take into consideration the new challenges imposed by the need for rapid economic development for local populations who need to actively </w:t>
            </w:r>
            <w:r w:rsidRPr="008F575F">
              <w:rPr>
                <w:rFonts w:ascii="Times New Roman" w:hAnsi="Times New Roman" w:cs="Times New Roman"/>
                <w:color w:val="000000" w:themeColor="text1"/>
                <w:sz w:val="18"/>
                <w:szCs w:val="18"/>
                <w:lang w:val="en-GB"/>
              </w:rPr>
              <w:lastRenderedPageBreak/>
              <w:t>participate in the management of PAs to access legitimate advantages and benefits.</w:t>
            </w:r>
          </w:p>
        </w:tc>
        <w:tc>
          <w:tcPr>
            <w:tcW w:w="1640" w:type="dxa"/>
          </w:tcPr>
          <w:p w:rsidR="00F17E02" w:rsidRPr="00CA6D46"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rPr>
              <w:lastRenderedPageBreak/>
              <w:fldChar w:fldCharType="begin" w:fldLock="1"/>
            </w:r>
            <w:r w:rsidRPr="008F575F">
              <w:rPr>
                <w:rFonts w:ascii="Times New Roman" w:hAnsi="Times New Roman" w:cs="Times New Roman"/>
                <w:color w:val="000000" w:themeColor="text1"/>
                <w:sz w:val="18"/>
                <w:szCs w:val="18"/>
                <w:lang w:val="en-GB"/>
              </w:rPr>
              <w:instrText>ADDIN CSL_CITATION {"citationItems":[{"id":"ITEM-1","itemData":{"ISBN":"0306000210","abstract":"This Biodiversity and Tropical Forest Assessment report has been prepared to provide information and analysis as requested by USAID/DRC, required by the U.S. Congress, and sti</w:instrText>
            </w:r>
            <w:r w:rsidRPr="003E499A">
              <w:rPr>
                <w:rFonts w:ascii="Times New Roman" w:hAnsi="Times New Roman" w:cs="Times New Roman"/>
                <w:color w:val="000000" w:themeColor="text1"/>
                <w:sz w:val="18"/>
                <w:szCs w:val="18"/>
                <w:lang w:val="en-GB"/>
              </w:rPr>
              <w:instrText>pulated in the U.S. Foreign Assistance Act (FAA) of 1961. This report updates the 2003 countrywide Environmental Threats and Opportunities Analysis (ETOA) and seeks to provide a concise and targeted assessment to inform the USAID/DRC Mission’s strategic planning, program development, and implementation. This assessment includes: • An overview of the status of biodiversity and tropical forest conservation; • An analysis of threats to biodiversity and tropical forests and underlying causes; • The institutional, policy and legislative framework for environmental management in the DRC; and • Current interventions in the environmental sector, bi- and multilateral donors, non -governmental organizations (NGOs), the private sector and other institutions; and • An examination of how the proposed activities in USAID/DRC’s Country Assistance Strategy (CAS) could contribute to conservation needs and includes recommendations for actions related to the CAS’s goals.","author":[{"dropping-particle":"","family":"Seyler","given":"J R","non-dropping-particle":"","parse-names":false,"suffix":""},{"dropping-particle":"","family":"Thomas","given":"D","non-dropping-particle":"","parse-names":false,"suffix":""},{"dropping-particle":"","family":"Mwanza","given":"N","non-dropping-particle":"","parse-names":false,"suffix":""},{"dropping-particle":"","family":"Mpoyi","given":"A","non-dropping-particle":"","parse-names"</w:instrText>
            </w:r>
            <w:r w:rsidRPr="00CA6D46">
              <w:rPr>
                <w:rFonts w:ascii="Times New Roman" w:hAnsi="Times New Roman" w:cs="Times New Roman"/>
                <w:color w:val="000000" w:themeColor="text1"/>
                <w:sz w:val="18"/>
                <w:szCs w:val="18"/>
                <w:lang w:val="en-GB"/>
              </w:rPr>
              <w:instrText>:false,"suffix":""}],"id":"ITEM-1","issue":"January","issued":{"date-parts":[["2010"]]},"number-of-pages":"-","title":"Democratic Republic of Congo: Biodiversity and tropical forestry assessment (118/119). Final report","type":"book"},"uris":["http://www.mendeley.com/documents/?uuid=8ec076de-7267-42e0-8614-f986b8d66aac"]},{"id":"ITEM-2","itemData":{"author":[{"dropping-particle":"","family":"ICCN","given":"","non-dropping-particle":"","parse-names":false,"suffix":""}],"id":"ITEM-2","issued":{"date-parts":[["2011"]]},"number-of-pages":"1-44","title":"Manuel des droits et obligations des parties prenantes dans les aires protégées","type":"book"},"uris":["http://www.mendeley.com/documents/?uuid=472ea57f-8d18-433f-ac47-ec821ec588d9"]},{"id":"ITEM-3","itemData":{"author":[{"dropping-particle":"","family":"MECNDD","given":"","non-dropping-particle":"","parse-names":false,"suffix":""}],"id":"ITEM-3","issued":{"date-parts":[["2016"]]},"title":"Strategie et plan d'action nationaux de la biodiversite (2016-2020)","type":"book"},"uris":["http://www.mendeley.com/documents/?uuid=b2194c17-cb9b-44ea-833e-2474c8ec717c"]}],"mendeley":{"formattedCitation":"(Seyler &lt;i&gt;et al.&lt;/i&gt;, 2010; ICCN, 2011; MECNDD, 2016)","plainTextFormattedCitation":"(Seyler et al., 2010; ICCN, 2011; MECNDD, 2016)","previouslyFormattedCitation":"(Seyler &lt;i&gt;et al.&lt;/i&gt;, 2010; ICCN, 2011; MECNDD, 2016)"},"properties":{"noteIndex":0},"schema":"https://github.com/citation-style-language/schema/raw/master/csl-citation.json"}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CA6D46">
              <w:rPr>
                <w:rFonts w:ascii="Times New Roman" w:hAnsi="Times New Roman" w:cs="Times New Roman"/>
                <w:noProof/>
                <w:color w:val="000000" w:themeColor="text1"/>
                <w:sz w:val="18"/>
                <w:szCs w:val="18"/>
                <w:lang w:val="en-GB"/>
              </w:rPr>
              <w:t xml:space="preserve">(Seyler </w:t>
            </w:r>
            <w:r w:rsidRPr="00CA6D46">
              <w:rPr>
                <w:rFonts w:ascii="Times New Roman" w:hAnsi="Times New Roman" w:cs="Times New Roman"/>
                <w:i/>
                <w:noProof/>
                <w:color w:val="000000" w:themeColor="text1"/>
                <w:sz w:val="18"/>
                <w:szCs w:val="18"/>
                <w:lang w:val="en-GB"/>
              </w:rPr>
              <w:t>et al.</w:t>
            </w:r>
            <w:r w:rsidRPr="00CA6D46">
              <w:rPr>
                <w:rFonts w:ascii="Times New Roman" w:hAnsi="Times New Roman" w:cs="Times New Roman"/>
                <w:noProof/>
                <w:color w:val="000000" w:themeColor="text1"/>
                <w:sz w:val="18"/>
                <w:szCs w:val="18"/>
                <w:lang w:val="en-GB"/>
              </w:rPr>
              <w:t>, 2010; ICCN, 2011; MECNDD, 2016)</w:t>
            </w:r>
            <w:r w:rsidRPr="003E499A">
              <w:rPr>
                <w:rFonts w:ascii="Times New Roman" w:hAnsi="Times New Roman" w:cs="Times New Roman"/>
                <w:color w:val="000000" w:themeColor="text1"/>
                <w:sz w:val="18"/>
                <w:szCs w:val="18"/>
              </w:rPr>
              <w:fldChar w:fldCharType="end"/>
            </w:r>
          </w:p>
        </w:tc>
      </w:tr>
      <w:tr w:rsidR="00BC3879" w:rsidRPr="003E499A" w:rsidTr="00913AD0">
        <w:tc>
          <w:tcPr>
            <w:tcW w:w="483" w:type="dxa"/>
          </w:tcPr>
          <w:p w:rsidR="00F17E02" w:rsidRPr="00CA6D46" w:rsidRDefault="00F17E02" w:rsidP="00D0319C">
            <w:pPr>
              <w:rPr>
                <w:rFonts w:ascii="Times New Roman" w:hAnsi="Times New Roman" w:cs="Times New Roman"/>
                <w:sz w:val="20"/>
                <w:szCs w:val="20"/>
                <w:lang w:val="en-GB"/>
              </w:rPr>
            </w:pPr>
            <w:r w:rsidRPr="00CA6D46">
              <w:rPr>
                <w:rFonts w:ascii="Times New Roman" w:hAnsi="Times New Roman" w:cs="Times New Roman"/>
                <w:sz w:val="20"/>
                <w:szCs w:val="20"/>
                <w:lang w:val="en-GB"/>
              </w:rPr>
              <w:t xml:space="preserve">7. </w:t>
            </w:r>
          </w:p>
        </w:tc>
        <w:tc>
          <w:tcPr>
            <w:tcW w:w="2325" w:type="dxa"/>
          </w:tcPr>
          <w:p w:rsidR="00F17E02" w:rsidRPr="00CA6D46" w:rsidRDefault="00F17E02" w:rsidP="00D0319C">
            <w:pPr>
              <w:rPr>
                <w:rFonts w:ascii="Times New Roman" w:hAnsi="Times New Roman" w:cs="Times New Roman"/>
                <w:color w:val="000000" w:themeColor="text1"/>
                <w:sz w:val="18"/>
                <w:szCs w:val="18"/>
                <w:lang w:val="en-GB"/>
              </w:rPr>
            </w:pPr>
            <w:bookmarkStart w:id="26" w:name="_Hlk133509820"/>
            <w:r w:rsidRPr="00CA6D46">
              <w:rPr>
                <w:rFonts w:ascii="Times New Roman" w:hAnsi="Times New Roman" w:cs="Times New Roman"/>
                <w:color w:val="000000" w:themeColor="text1"/>
                <w:sz w:val="18"/>
                <w:szCs w:val="18"/>
                <w:lang w:val="en-GB"/>
              </w:rPr>
              <w:t>Law No. 82-002 of May 28, 1982 regulating hunting</w:t>
            </w:r>
            <w:bookmarkEnd w:id="26"/>
          </w:p>
        </w:tc>
        <w:tc>
          <w:tcPr>
            <w:tcW w:w="2496" w:type="dxa"/>
          </w:tcPr>
          <w:p w:rsidR="00F17E02" w:rsidRPr="003E499A" w:rsidRDefault="00F17E02" w:rsidP="00D0319C">
            <w:pPr>
              <w:rPr>
                <w:rFonts w:ascii="Times New Roman" w:hAnsi="Times New Roman" w:cs="Times New Roman"/>
                <w:color w:val="000000" w:themeColor="text1"/>
                <w:sz w:val="18"/>
                <w:szCs w:val="18"/>
                <w:lang w:val="en-GB"/>
              </w:rPr>
            </w:pPr>
            <w:r w:rsidRPr="00CA6D46">
              <w:rPr>
                <w:rFonts w:ascii="Times New Roman" w:hAnsi="Times New Roman" w:cs="Times New Roman"/>
                <w:color w:val="000000" w:themeColor="text1"/>
                <w:sz w:val="18"/>
                <w:szCs w:val="18"/>
                <w:lang w:val="en-GB"/>
              </w:rPr>
              <w:t xml:space="preserve">This law is characterized by restrictions on customary hunting. </w:t>
            </w:r>
            <w:r w:rsidRPr="00EC31B9">
              <w:rPr>
                <w:rFonts w:ascii="Times New Roman" w:hAnsi="Times New Roman" w:cs="Times New Roman"/>
                <w:color w:val="000000" w:themeColor="text1"/>
                <w:sz w:val="18"/>
                <w:szCs w:val="18"/>
                <w:lang w:val="en-GB"/>
              </w:rPr>
              <w:t xml:space="preserve">It includes the general provisions, hunting </w:t>
            </w:r>
            <w:r w:rsidRPr="003E499A">
              <w:rPr>
                <w:rFonts w:ascii="Times New Roman" w:hAnsi="Times New Roman" w:cs="Times New Roman"/>
                <w:color w:val="000000" w:themeColor="text1"/>
                <w:sz w:val="18"/>
                <w:szCs w:val="18"/>
                <w:lang w:val="en-GB"/>
              </w:rPr>
              <w:t>reserves, hunting areas and periods, hunting tools and methods, hunting animals, etc.</w:t>
            </w:r>
          </w:p>
        </w:tc>
        <w:tc>
          <w:tcPr>
            <w:tcW w:w="2082"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Execution proved difficult, for lack of provision for enforcement measures</w:t>
            </w:r>
          </w:p>
        </w:tc>
        <w:tc>
          <w:tcPr>
            <w:tcW w:w="1640"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lang w:val="en-GB"/>
              </w:rPr>
              <w:instrText>ADDIN CSL_CITATION {"citationItems":[{"id":"ITEM-1","itemData":{"ISBN":"0306000210","abstract":"This Biodiversity and Tropical Forest Assessment report has been prepared to provide information and analysis as requested by USAID/DRC, required by the U.S. Congress, and stipulated in the U.S. Foreign Assistance Act (FAA) of 1961. This report updates the 2003 countrywide Environmental Threats and Opportunities Analysis (ETOA) and seeks to provide a concise and targeted assessment to inform the USAID/DRC Mission’s strategic planning, program development, and implementation. This assessment includes: • An overview of the status of biodiversity and tropical forest conservation; • An analysis of threats to biodiversity and tropical forests and underlying causes; • The institutional, policy and legislative framework for environmental management in the DRC; and • Current interventions in the environmental sector, bi- and multilateral donors, non -governmental organizations (NGOs), the private sector and other institutions; and • An examination of how the proposed activities in USAID/DRC’s Country Assistance Strategy (CAS) could contribute to conservation needs and includes recommendations for actions related to the CAS’s goals.","author":[{"dropping-particle":"","family":"Seyler","given":"J R","non-dropping-particle":"","parse-names":false,"suffix":""},{"dropping-particle":"","family":"Thomas","given":"D","non-dropping-particle":"","parse-names":false,"suffix":""},{"dropping-particle":"","family":"Mwanza","given":"N","non-dropping-particle":"","parse-names":false,"suffix":""},{"dropping-particle":"","family":"Mpoyi","given":"A","non-dropping-particle":"","parse-names":false,"suffix":""}],"id":"ITEM-1","issue":"January","issued":{"date-parts":[["2010"]]},"number-of-pages":"-","title":"Democratic Republic of Congo: Biodiversity and tropical forestry assessment (118/119). Final report","type":"book"},"uris":["http://www.mendeley.com/documents/?uuid=8ec076de-7267-42e0-8614-f986b8d66aac"]},{"id":"ITEM-2","itemData":{"author":[{"dropping-particle":"","family":"ICCN","given":"","non-dropping-particle":"","parse-names":false,"suffix":""}],"id":"ITEM-2","issued":{"date-parts":[["2011"]]},"number-of-pages":"1-44","title":"Manuel des droits et obligations des parties prenantes dans les aires protégées","type":"book"},"uris":["http://www.mendeley.com/documents/?uuid=472ea57f-8d18-433f-ac47-ec821ec588d9"]},{"id":"ITEM-3","itemData":{"ISBN":"9781920538057","author":[{"dropping-particle":"","family":"Kihangi","given":"Bindu Kennedy","non-dropping-particle":"","parse-names":false,"suffix":""}],"container-title":"Environmental Law in Africa","id":"ITEM-3","issue":"June","issued":{"date-parts":[["2012"]]},"title":"The environmental law framework of the Democratic Republic of the Congo and the balancing of interest","type":"article-journal"},"uris":["http://www.mendeley.com/documents/?uuid=8179bdf7-f883-4c1b-803e-08b7c25a7e0a"]},{"id":"ITEM-4","itemData":{"author":[{"dropping-particle":"","family":"MECNDD","given":"","non-dropping-particle":"","parse-names":false,"suffix":""}],"id":"ITEM-4","issued":{"date-parts":[["2016"]]},"title":"Strategie et plan d'action nationaux de la biodiversite (2016-2020)","type":"book"},"uris":["http://www.mendeley.com/documents/?uuid=b2194c17-cb9b-44ea-833e-2474c8ec717c"]},{"id":"ITEM-5","itemData":{"author":[{"dropping-particle":"","family":"Pyhälä","given":"Aili","non-dropping-particle":"","parse-names":false,"suffix":""},{"dropping-particle":"","family":"Orozco","given":"Ana Osuna","non-dropping-particle":"","parse-names":false,"suffix":""},{"dropping-particle":"","family":"Counsell","given":"Simon","non-dropping-particle":"","parse-names":false,"suffix":""}],"id":"ITEM-5","issue":"April","issued":{"date-parts":[["2016"]]},"title":"Protected areas in the Congo Basin: Failing both people and biodiversity?","type":"article-journal"},"uris":["http://www.mendeley.com/documents/?uuid=f9297951-d92d-4350-b1a2-6f8873c5e0af"]}],"mendeley":{"formattedCitation":"(Seyler &lt;i&gt;et al.&lt;/i&gt;, 2010; ICCN, 2011; Kihangi, 2012; MECNDD, 2016; Pyhälä, Orozco and Counsell, 2016)","plainTextFormattedCitation":"(Seyler et al., 2010; ICCN, 2011; Kihangi, 2012; MECNDD, 2016; Pyhälä, Orozco and Counsell, 2016)","previouslyFormattedCitation":"(Seyler &lt;i&gt;et al.&lt;/i&gt;, 2010; ICCN, 2011; Kihangi, 2012; MECNDD, 2016; Pyhälä, Orozco and Counsell, 2016)"},"properties":{"noteIndex":0},"schema":"https://github.com/citation-style-language/schema/raw/master/csl-citation.json"}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lang w:val="en-GB"/>
              </w:rPr>
              <w:t xml:space="preserve">(Seyler </w:t>
            </w:r>
            <w:r w:rsidRPr="003E499A">
              <w:rPr>
                <w:rFonts w:ascii="Times New Roman" w:hAnsi="Times New Roman" w:cs="Times New Roman"/>
                <w:i/>
                <w:noProof/>
                <w:color w:val="000000" w:themeColor="text1"/>
                <w:sz w:val="18"/>
                <w:szCs w:val="18"/>
                <w:lang w:val="en-GB"/>
              </w:rPr>
              <w:t>et al.</w:t>
            </w:r>
            <w:r w:rsidRPr="003E499A">
              <w:rPr>
                <w:rFonts w:ascii="Times New Roman" w:hAnsi="Times New Roman" w:cs="Times New Roman"/>
                <w:noProof/>
                <w:color w:val="000000" w:themeColor="text1"/>
                <w:sz w:val="18"/>
                <w:szCs w:val="18"/>
                <w:lang w:val="en-GB"/>
              </w:rPr>
              <w:t>, 2010; ICCN, 2011; Kihangi, 2012; MECNDD, 2016; Pyhälä, Orozco and Counsell, 2016)</w:t>
            </w:r>
            <w:r w:rsidRPr="003E499A">
              <w:rPr>
                <w:rFonts w:ascii="Times New Roman" w:hAnsi="Times New Roman" w:cs="Times New Roman"/>
                <w:color w:val="000000" w:themeColor="text1"/>
                <w:sz w:val="18"/>
                <w:szCs w:val="18"/>
              </w:rPr>
              <w:fldChar w:fldCharType="end"/>
            </w:r>
          </w:p>
        </w:tc>
      </w:tr>
      <w:tr w:rsidR="00BC3879" w:rsidRPr="003E499A" w:rsidTr="00913AD0">
        <w:tc>
          <w:tcPr>
            <w:tcW w:w="483" w:type="dxa"/>
          </w:tcPr>
          <w:p w:rsidR="00F17E02" w:rsidRPr="003E499A" w:rsidRDefault="00F17E02" w:rsidP="00D0319C">
            <w:pPr>
              <w:rPr>
                <w:rFonts w:ascii="Times New Roman" w:hAnsi="Times New Roman" w:cs="Times New Roman"/>
                <w:sz w:val="20"/>
                <w:szCs w:val="20"/>
                <w:lang w:val="en-GB"/>
              </w:rPr>
            </w:pPr>
            <w:bookmarkStart w:id="27" w:name="_Hlk133509835"/>
            <w:r w:rsidRPr="003E499A">
              <w:rPr>
                <w:rFonts w:ascii="Times New Roman" w:hAnsi="Times New Roman" w:cs="Times New Roman"/>
                <w:sz w:val="20"/>
                <w:szCs w:val="20"/>
                <w:lang w:val="en-GB"/>
              </w:rPr>
              <w:t xml:space="preserve">8. </w:t>
            </w:r>
          </w:p>
        </w:tc>
        <w:tc>
          <w:tcPr>
            <w:tcW w:w="2325"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National Biodiversity Strategy and Action Plan, 2001</w:t>
            </w:r>
          </w:p>
        </w:tc>
        <w:tc>
          <w:tcPr>
            <w:tcW w:w="2496"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The DR Congo had developed its strategy and action plan as a national biodiversity policy document to implement the provisions of the Convention on Biological Diversity.</w:t>
            </w:r>
          </w:p>
        </w:tc>
        <w:tc>
          <w:tcPr>
            <w:tcW w:w="2082" w:type="dxa"/>
          </w:tcPr>
          <w:p w:rsidR="00F17E02" w:rsidRPr="003E499A" w:rsidRDefault="00F17E02" w:rsidP="00D0319C">
            <w:pPr>
              <w:rPr>
                <w:rFonts w:ascii="Times New Roman" w:hAnsi="Times New Roman" w:cs="Times New Roman"/>
                <w:color w:val="000000" w:themeColor="text1"/>
                <w:sz w:val="18"/>
                <w:szCs w:val="18"/>
                <w:lang w:val="en-GB"/>
              </w:rPr>
            </w:pPr>
          </w:p>
        </w:tc>
        <w:tc>
          <w:tcPr>
            <w:tcW w:w="1640"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lang w:val="en-GB"/>
              </w:rPr>
              <w:instrText>ADDIN CSL_CITATION {"citationItems":[{"id":"ITEM-1","itemData":{"author":[{"dropping-particle":"","family":"MECNDD","given":"","non-dropping-particle":"","parse-names":false,"suffix":""}],"id":"ITEM-1","issued":{"date-parts":[["2016"]]},"title":"Strategie et plan d'action nationaux de la biodiversite (2016-2020)","type":"book"},"uris":["http://www.mendeley.com/documents/?uuid=b2194c17-cb9b-44ea-833e-2474c8ec717c"]}],"mendeley":{"formattedCitation":"(MECNDD, 2016)","plainTextFormattedCitation":"(MECNDD, 2016)","previouslyFormattedCitation":"(MECNDD, 2016)"},"properties":{"noteIndex":0},"schema":"https://github.com/citation-style-language/schema/raw/master/csl-citation.json"}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lang w:val="en-GB"/>
              </w:rPr>
              <w:t>(MECNDD, 2016)</w:t>
            </w:r>
            <w:r w:rsidRPr="003E499A">
              <w:rPr>
                <w:rFonts w:ascii="Times New Roman" w:hAnsi="Times New Roman" w:cs="Times New Roman"/>
                <w:color w:val="000000" w:themeColor="text1"/>
                <w:sz w:val="18"/>
                <w:szCs w:val="18"/>
              </w:rPr>
              <w:fldChar w:fldCharType="end"/>
            </w:r>
          </w:p>
        </w:tc>
      </w:tr>
      <w:bookmarkEnd w:id="27"/>
      <w:tr w:rsidR="00BC3879" w:rsidRPr="003E499A" w:rsidTr="00913AD0">
        <w:tc>
          <w:tcPr>
            <w:tcW w:w="483" w:type="dxa"/>
          </w:tcPr>
          <w:p w:rsidR="00F17E02" w:rsidRPr="003E499A" w:rsidRDefault="00F17E02" w:rsidP="00D0319C">
            <w:pPr>
              <w:rPr>
                <w:rFonts w:ascii="Times New Roman" w:hAnsi="Times New Roman" w:cs="Times New Roman"/>
                <w:sz w:val="20"/>
                <w:szCs w:val="20"/>
                <w:lang w:val="en-GB"/>
              </w:rPr>
            </w:pPr>
            <w:r w:rsidRPr="003E499A">
              <w:rPr>
                <w:rFonts w:ascii="Times New Roman" w:hAnsi="Times New Roman" w:cs="Times New Roman"/>
                <w:sz w:val="20"/>
                <w:szCs w:val="20"/>
                <w:lang w:val="en-GB"/>
              </w:rPr>
              <w:t xml:space="preserve">9. </w:t>
            </w:r>
          </w:p>
        </w:tc>
        <w:tc>
          <w:tcPr>
            <w:tcW w:w="2325" w:type="dxa"/>
          </w:tcPr>
          <w:p w:rsidR="00F17E02" w:rsidRPr="003E499A" w:rsidRDefault="00F17E02" w:rsidP="00D0319C">
            <w:pPr>
              <w:rPr>
                <w:rFonts w:ascii="Times New Roman" w:hAnsi="Times New Roman" w:cs="Times New Roman"/>
                <w:color w:val="000000" w:themeColor="text1"/>
                <w:sz w:val="18"/>
                <w:szCs w:val="18"/>
                <w:lang w:val="en-GB"/>
              </w:rPr>
            </w:pPr>
            <w:bookmarkStart w:id="28" w:name="_Hlk133509893"/>
            <w:r w:rsidRPr="003E499A">
              <w:rPr>
                <w:rFonts w:ascii="Times New Roman" w:hAnsi="Times New Roman" w:cs="Times New Roman"/>
                <w:color w:val="000000" w:themeColor="text1"/>
                <w:sz w:val="18"/>
                <w:szCs w:val="18"/>
                <w:lang w:val="en-GB"/>
              </w:rPr>
              <w:t>Law No. 011/2002 of August 29, 2002 on the Forest Code</w:t>
            </w:r>
            <w:bookmarkEnd w:id="28"/>
          </w:p>
        </w:tc>
        <w:tc>
          <w:tcPr>
            <w:tcW w:w="2496"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This law defines the regime applicable to the conservation, exploitation and development of forest resources throughout the national territory.</w:t>
            </w:r>
          </w:p>
        </w:tc>
        <w:tc>
          <w:tcPr>
            <w:tcW w:w="2082"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Classified forests, assigned to an ecological vocation should represent at least 15% of the total area of the national territory. Attaining the coverage and good quality of forest remains a challenge.</w:t>
            </w:r>
          </w:p>
        </w:tc>
        <w:tc>
          <w:tcPr>
            <w:tcW w:w="1640"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lang w:val="en-GB"/>
              </w:rPr>
              <w:instrText>ADDIN CSL_CITATION {"citationItems":[{"id":"ITEM-1","itemData":{"ISBN":"0306000210","abstract":"This Biodiversity and Tropical Forest Assessment report has been prepared to provide information and analysis as requested by USAID/DRC, required by the U.S. Congress, and stipulated in the U.S. Foreign Assistance Act (FAA) of 1961. This report updates the 2003 countrywide Environmental Threats and Opportunities Analysis (ETOA) and seeks to provide a concise and targeted assessment to inform the USAID/DRC Mission’s strategic planning, program development, and implementation. This assessment includes: • An overview of the status of biodiversity and tropical forest conservation; • An analysis of threats to biodiversity and tropical forests and underlying causes; • The institutional, policy and legislative framework for environmental management in the DRC; and • Current interventions in the environmental sector, bi- and multilateral donors, non -governmental organizations (NGOs), the private sector and other institutions; and • An examination of how the proposed activities in USAID/DRC’s Country Assistance Strategy (CAS) could contribute to conservation needs and includes recommendations for actions related to the CAS’s goals.","author":[{"dropping-particle":"","family":"Seyler","given":"J R","non-dropping-particle":"","parse-names":false,"suffix":""},{"dropping-particle":"","family":"Thomas","given":"D","non-dropping-particle":"","parse-names":false,"suffix":""},{"dropping-particle":"","family":"Mwanza","given":"N","non-dropping-particle":"","parse-names":false,"suffix":""},{"dropping-particle":"","family":"Mpoyi","given":"A","non-dropping-particle":"","parse-names":false,"suffix":""}],"id":"ITEM-1","issue":"January","issued":{"date-parts":[["2010"]]},"number-of-pages":"-","title":"Democratic Republic of Congo: Biodiversity and tropical forestry assessment (118/119). Final report","type":"book"},"uris":["http://www.mendeley.com/documents/?uuid=8ec076de-7267-42e0-8614-f986b8d66aac"]},{"id":"ITEM-2","itemData":{"author":[{"dropping-particle":"","family":"ICCN","given":"","non-dropping-particle":"","parse-names":false,"suffix":""}],"id":"ITEM-2","issued":{"date-parts":[["2011"]]},"number-of-pages":"1-44","title":"Manuel des droits et obligations des parties prenantes dans les aires protégées","type":"book"},"uris":["http://www.mendeley.com/documents/?uuid=472ea57f-8d18-433f-ac47-ec821ec588d9"]},{"id":"ITEM-3","itemData":{"author":[{"dropping-particle":"","family":"ICCN","given":"","non-dropping-particle":"","parse-names":false,"suffix":""}],"id":"ITEM-3","issued":{"date-parts":[["2012"]]},"title":"Strategie nationale de conservation de la biodiversite dans les aires protegees de la Republique Democratique du Congo","type":"report"},"uris":["http://www.mendeley.com/documents/?uuid=7ae8f178-dcb4-40d2-b2d0-511c821a1b3d"]},{"id":"ITEM-4","itemData":{"author":[{"dropping-particle":"","family":"Kihangi","given":"Bindu Kennedy","non-dropping-particle":"","parse-names":false,"suffix":""}],"container-title":"IUCN Academy of Environmental Law E-Journal","id":"ITEM-4","issue":"November","issued":{"date-parts":[["2016"]]},"page":"205-212","title":"Country Report: Democratic Republic of Congo","type":"article-journal","volume":"1"},"uris":["http://www.mendeley.com/documents/?uuid=f10cad38-8b66-4238-b3d5-c2a043259af3"]},{"id":"ITEM-5","itemData":{"ISBN":"9781920538057","author":[{"dropping-particle":"","family":"Kihangi","given":"Bindu Kennedy","non-dropping-particle":"","parse-names":false,"suffix":""}],"container-title":"Environmental Law in Africa","id":"ITEM-5","issue":"June","issued":{"date-parts":[["2012"]]},"title":"The environmental law framework of the Democratic Republic of the Congo and the balancing of interest","type":"article-journal"},"uris":["http://www.mendeley.com/documents/?uuid=8179bdf7-f883-4c1b-803e-08b7c25a7e0a"]},{"id":"ITEM-6","itemData":{"author":[{"dropping-particle":"","family":"MECNDD","given":"","non-dropping-particle":"","parse-names":false,"suffix":""}],"id":"ITEM-6","issued":{"date-parts":[["2016"]]},"title":"Strategie et plan d'action nationaux de la biodiversite (2016-2020)","type":"book"},"uris":["http://www.mendeley.com/documents/?uuid=b2194c17-cb9b-44ea-833e-2474c8ec717c"]},{"id":"ITEM-7","itemData":{"author":[{"dropping-particle":"","family":"Pyhälä","given":"Aili","non-dropping-particle":"","parse-names":false,"suffix":""},{"dropping-particle":"","family":"Orozco","given":"Ana Osuna","non-dropping-particle":"","parse-names":false,"suffix":""},{"dropping-particle":"","family":"Counsell","given":"Simon","non-dropping-particle":"","parse-names":false,"suffix":""}],"id":"ITEM-7","issue":"April","issued":{"date-parts":[["2016"]]},"title":"Protected areas in the Congo Basin: Failing both people and biodiversity?","type":"article-journal"},"uris":["http://www.mendeley.com/documents/?uuid=f9297951-d92d-4350-b1a2-6f8873c5e0af"]}],"mendeley":{"formattedCitation":"(Seyler &lt;i&gt;et al.&lt;/i&gt;, 2010; ICCN, 2011, 2012; Kihangi, 2012, 2016; MECNDD, 2016; Pyhälä, Orozco and Counsell, 2016)","plainTextFormattedCitation":"(Seyler et al., 2010; ICCN, 2011, 2012; Kihangi, 2012, 2016; MECNDD, 2016; Pyhälä, Orozco and Counsell, 2016)","previouslyFormattedCitation":"(Seyler &lt;i&gt;et al.&lt;/i&gt;, 2010; ICCN, 2011, 2012; Kihangi, 2012, 2016; MECNDD, 2016; Pyhälä, Orozco and Counsell, 2016)"},"properties":{"noteIndex":0},"schema":"https://github.com/citation-style-language/schema/raw/master/csl-citation.json"}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lang w:val="en-GB"/>
              </w:rPr>
              <w:t xml:space="preserve">(Seyler </w:t>
            </w:r>
            <w:r w:rsidRPr="003E499A">
              <w:rPr>
                <w:rFonts w:ascii="Times New Roman" w:hAnsi="Times New Roman" w:cs="Times New Roman"/>
                <w:i/>
                <w:noProof/>
                <w:color w:val="000000" w:themeColor="text1"/>
                <w:sz w:val="18"/>
                <w:szCs w:val="18"/>
                <w:lang w:val="en-GB"/>
              </w:rPr>
              <w:t>et al.</w:t>
            </w:r>
            <w:r w:rsidRPr="003E499A">
              <w:rPr>
                <w:rFonts w:ascii="Times New Roman" w:hAnsi="Times New Roman" w:cs="Times New Roman"/>
                <w:noProof/>
                <w:color w:val="000000" w:themeColor="text1"/>
                <w:sz w:val="18"/>
                <w:szCs w:val="18"/>
                <w:lang w:val="en-GB"/>
              </w:rPr>
              <w:t>, 2010; ICCN, 2011, 2012; Kihangi, 2012, 2016; MECNDD, 2016; Pyhälä, Orozco and Counsell, 2016)</w:t>
            </w:r>
            <w:r w:rsidRPr="003E499A">
              <w:rPr>
                <w:rFonts w:ascii="Times New Roman" w:hAnsi="Times New Roman" w:cs="Times New Roman"/>
                <w:color w:val="000000" w:themeColor="text1"/>
                <w:sz w:val="18"/>
                <w:szCs w:val="18"/>
              </w:rPr>
              <w:fldChar w:fldCharType="end"/>
            </w:r>
          </w:p>
        </w:tc>
      </w:tr>
      <w:tr w:rsidR="00BC3879" w:rsidRPr="0050716C" w:rsidTr="00913AD0">
        <w:tc>
          <w:tcPr>
            <w:tcW w:w="483" w:type="dxa"/>
          </w:tcPr>
          <w:p w:rsidR="00F17E02" w:rsidRPr="003E499A" w:rsidRDefault="00F17E02" w:rsidP="00D0319C">
            <w:pPr>
              <w:rPr>
                <w:rFonts w:ascii="Times New Roman" w:hAnsi="Times New Roman" w:cs="Times New Roman"/>
                <w:sz w:val="20"/>
                <w:szCs w:val="20"/>
                <w:lang w:val="en-GB"/>
              </w:rPr>
            </w:pPr>
            <w:r w:rsidRPr="003E499A">
              <w:rPr>
                <w:rFonts w:ascii="Times New Roman" w:hAnsi="Times New Roman" w:cs="Times New Roman"/>
                <w:sz w:val="20"/>
                <w:szCs w:val="20"/>
                <w:lang w:val="en-GB"/>
              </w:rPr>
              <w:t xml:space="preserve">10. </w:t>
            </w:r>
          </w:p>
        </w:tc>
        <w:tc>
          <w:tcPr>
            <w:tcW w:w="2325" w:type="dxa"/>
          </w:tcPr>
          <w:p w:rsidR="00F17E02" w:rsidRPr="00BC3879" w:rsidRDefault="00F17E02" w:rsidP="00D0319C">
            <w:pPr>
              <w:rPr>
                <w:rFonts w:ascii="Times New Roman" w:hAnsi="Times New Roman" w:cs="Times New Roman"/>
                <w:color w:val="000000" w:themeColor="text1"/>
                <w:sz w:val="18"/>
                <w:szCs w:val="18"/>
                <w:lang w:val="en-GB"/>
              </w:rPr>
            </w:pPr>
            <w:bookmarkStart w:id="29" w:name="_Hlk133509913"/>
            <w:r w:rsidRPr="00BC3879">
              <w:rPr>
                <w:rFonts w:ascii="Times New Roman" w:hAnsi="Times New Roman" w:cs="Times New Roman"/>
                <w:color w:val="000000" w:themeColor="text1"/>
                <w:sz w:val="18"/>
                <w:szCs w:val="18"/>
                <w:lang w:val="en-GB"/>
              </w:rPr>
              <w:t>Law No. 11/009 on fundamental principles relating to the protection of the environment, 2011</w:t>
            </w:r>
            <w:bookmarkEnd w:id="29"/>
          </w:p>
        </w:tc>
        <w:tc>
          <w:tcPr>
            <w:tcW w:w="2496" w:type="dxa"/>
          </w:tcPr>
          <w:p w:rsidR="00F17E02" w:rsidRPr="00BC3879" w:rsidRDefault="00BC3879" w:rsidP="00D0319C">
            <w:pPr>
              <w:rPr>
                <w:rFonts w:ascii="Times New Roman" w:hAnsi="Times New Roman" w:cs="Times New Roman"/>
                <w:color w:val="000000" w:themeColor="text1"/>
                <w:sz w:val="18"/>
                <w:szCs w:val="18"/>
                <w:lang w:val="en-GB"/>
              </w:rPr>
            </w:pPr>
            <w:r w:rsidRPr="00BC3879">
              <w:rPr>
                <w:rFonts w:ascii="Times New Roman" w:hAnsi="Times New Roman" w:cs="Times New Roman"/>
                <w:color w:val="000000" w:themeColor="text1"/>
                <w:sz w:val="18"/>
                <w:szCs w:val="18"/>
                <w:lang w:val="en-GB"/>
              </w:rPr>
              <w:t xml:space="preserve">Addresses the essential concept associated with environmental preservation, establishing guidelines for the functioning of procedural methods aimed at safeguarding the natural world. </w:t>
            </w:r>
          </w:p>
        </w:tc>
        <w:tc>
          <w:tcPr>
            <w:tcW w:w="2082"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It does not address issues related to Environmental Impact Assessment, Indigenous Consultations, as important environmental management tools.</w:t>
            </w:r>
          </w:p>
        </w:tc>
        <w:tc>
          <w:tcPr>
            <w:tcW w:w="1640" w:type="dxa"/>
          </w:tcPr>
          <w:p w:rsidR="00F17E02" w:rsidRPr="003E499A" w:rsidRDefault="00F17E02" w:rsidP="00D0319C">
            <w:pPr>
              <w:rPr>
                <w:rFonts w:ascii="Times New Roman" w:hAnsi="Times New Roman" w:cs="Times New Roman"/>
                <w:color w:val="000000" w:themeColor="text1"/>
                <w:sz w:val="18"/>
                <w:szCs w:val="18"/>
                <w:lang w:val="fr-FR"/>
              </w:rPr>
            </w:pPr>
            <w:r w:rsidRPr="003E499A">
              <w:rPr>
                <w:rFonts w:ascii="Times New Roman" w:hAnsi="Times New Roman" w:cs="Times New Roman"/>
                <w:color w:val="000000" w:themeColor="text1"/>
                <w:sz w:val="18"/>
                <w:szCs w:val="18"/>
              </w:rPr>
              <w:fldChar w:fldCharType="begin" w:fldLock="1"/>
            </w:r>
            <w:r w:rsidRPr="0050716C">
              <w:rPr>
                <w:rFonts w:ascii="Times New Roman" w:hAnsi="Times New Roman" w:cs="Times New Roman"/>
                <w:color w:val="000000" w:themeColor="text1"/>
                <w:sz w:val="18"/>
                <w:szCs w:val="18"/>
                <w:lang w:val="fr-FR"/>
              </w:rPr>
              <w:instrText>ADDIN CSL_CITATION {"citationItems":[{"id":"ITEM-1","itemData":{"author":[{"dropping-particle":"","family":"ICCN","given":"","non-dropping-particle":"","parse-names":false,"suffix":""}],"id":"ITEM-1","issued":{"date-parts":[["2012"]]},"title":"Strategie nationale de conservation de la biodiversite dans les aires protegees de la Republique Democratique du Congo","type":"report"},"uris":["http://www.mendeley.com/documents/?uuid=7ae8f178-dcb4-40d2-b2d0-511c821a1b3d"]},{"id":"ITEM-2","itemData":{"author":[{"dropping-particle":"","family":"Palais du peuple","given":"","non-dropping-particle":"","parse-names":false,"suffix":""}],"id":"ITEM-2","issued":{"date-parts":[["2014"]]},"title":"Loi relative à la conservation de la nature","type":"legislation"},"uris":["http://www.mendeley.com/documents/?uuid=516f9ba3-361d-40fe-8d14-7790503bc3d6"]},{"id":"ITEM-3","itemData":{"author":[{"dropping-particle":"","family":"Kihangi","given":"Bindu Kennedy","non-dropping-</w:instrText>
            </w:r>
            <w:r w:rsidRPr="00F17E02">
              <w:rPr>
                <w:rFonts w:ascii="Times New Roman" w:hAnsi="Times New Roman" w:cs="Times New Roman"/>
                <w:color w:val="000000" w:themeColor="text1"/>
                <w:sz w:val="18"/>
                <w:szCs w:val="18"/>
                <w:lang w:val="fr-FR"/>
              </w:rPr>
              <w:instrText>p</w:instrText>
            </w:r>
            <w:r w:rsidRPr="003E499A">
              <w:rPr>
                <w:rFonts w:ascii="Times New Roman" w:hAnsi="Times New Roman" w:cs="Times New Roman"/>
                <w:color w:val="000000" w:themeColor="text1"/>
                <w:sz w:val="18"/>
                <w:szCs w:val="18"/>
                <w:lang w:val="fr-FR"/>
              </w:rPr>
              <w:instrText>article":"","parse-names":false,"suffix":""}],"container-title":"IUCN Academy of Environmental Law E-Journal","id":"ITEM-3","issue":"November","issued":{"date-parts":[["2016"]]},"page":"205-212","title":"Country Report: Democratic Republic of Congo","type":"article-journal","volume":"1"},"uris":["http://www.mendeley.com/documents/?uuid=f10cad38-8b66-4238-b3d5-c2a043259af3"]},{"id":"ITEM-4","itemData":{"author":[{"dropping-particle":"","family":"MECNDD","given":"","non-dropping-particle":"","parse-names":false,"suffix":""}],"id":"ITEM-4","issued":{"date-parts":[["2016"]]},"title":"Strategie et plan d'action nationaux de la biodiversite (2016-2020)","type":"book"},"uris":["http://www.mendeley.com/documents/?uuid=b2194c17-cb9b-44ea-833e-2474c8ec717c"]}],"mendeley":{"formattedCitation":"(ICCN, 2012; Palais du peuple, 2014; Kihangi, 2016; MECNDD, 2016)","plainTextFormattedCitation":"(ICCN, 2012; Palais du peuple, 2014; Kihangi, 2016; MECNDD, 2016)","previouslyFormattedCitation":"(ICCN, 2012; Palais du peuple, 2014; Kihangi, 2016; MECNDD, 2016)"},"properties":{"noteIndex":0},"schema":"https://github.com/citation-style-language/schema/raw/master/csl-citation.json"}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lang w:val="fr-FR"/>
              </w:rPr>
              <w:t>(ICCN, 2012; Palais du peuple, 2014; Kihangi, 2016; MECNDD, 2016)</w:t>
            </w:r>
            <w:r w:rsidRPr="003E499A">
              <w:rPr>
                <w:rFonts w:ascii="Times New Roman" w:hAnsi="Times New Roman" w:cs="Times New Roman"/>
                <w:color w:val="000000" w:themeColor="text1"/>
                <w:sz w:val="18"/>
                <w:szCs w:val="18"/>
              </w:rPr>
              <w:fldChar w:fldCharType="end"/>
            </w:r>
          </w:p>
        </w:tc>
      </w:tr>
      <w:tr w:rsidR="00BC3879" w:rsidRPr="003E499A" w:rsidTr="00913AD0">
        <w:tc>
          <w:tcPr>
            <w:tcW w:w="483" w:type="dxa"/>
          </w:tcPr>
          <w:p w:rsidR="00F17E02" w:rsidRPr="003E499A" w:rsidRDefault="00F17E02" w:rsidP="00D0319C">
            <w:pPr>
              <w:rPr>
                <w:rFonts w:ascii="Times New Roman" w:hAnsi="Times New Roman" w:cs="Times New Roman"/>
                <w:sz w:val="20"/>
                <w:szCs w:val="20"/>
                <w:lang w:val="en-GB"/>
              </w:rPr>
            </w:pPr>
            <w:r w:rsidRPr="003E499A">
              <w:rPr>
                <w:rFonts w:ascii="Times New Roman" w:hAnsi="Times New Roman" w:cs="Times New Roman"/>
                <w:sz w:val="20"/>
                <w:szCs w:val="20"/>
                <w:lang w:val="en-GB"/>
              </w:rPr>
              <w:t xml:space="preserve">11. </w:t>
            </w:r>
          </w:p>
        </w:tc>
        <w:tc>
          <w:tcPr>
            <w:tcW w:w="2325" w:type="dxa"/>
          </w:tcPr>
          <w:p w:rsidR="00F17E02" w:rsidRPr="003E499A" w:rsidRDefault="00F17E02" w:rsidP="00D0319C">
            <w:pPr>
              <w:rPr>
                <w:rFonts w:ascii="Times New Roman" w:hAnsi="Times New Roman" w:cs="Times New Roman"/>
                <w:color w:val="000000" w:themeColor="text1"/>
                <w:sz w:val="18"/>
                <w:szCs w:val="18"/>
                <w:lang w:val="en-GB"/>
              </w:rPr>
            </w:pPr>
            <w:bookmarkStart w:id="30" w:name="_Hlk133509942"/>
            <w:r w:rsidRPr="003E499A">
              <w:rPr>
                <w:rFonts w:ascii="Times New Roman" w:hAnsi="Times New Roman" w:cs="Times New Roman"/>
                <w:color w:val="000000" w:themeColor="text1"/>
                <w:sz w:val="18"/>
                <w:szCs w:val="18"/>
                <w:lang w:val="en-GB"/>
              </w:rPr>
              <w:t>National Strategy for Biodiversity Conservation in Protected Areas, 2012</w:t>
            </w:r>
            <w:bookmarkEnd w:id="30"/>
          </w:p>
        </w:tc>
        <w:tc>
          <w:tcPr>
            <w:tcW w:w="2496"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A new reference framework for planning the management, development, and promotion of natural resources.</w:t>
            </w:r>
          </w:p>
        </w:tc>
        <w:tc>
          <w:tcPr>
            <w:tcW w:w="2082"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The strategy identifies political, legal, economic, financial, institutional, socio-cultural, and security constraints, but does not provide solutions.</w:t>
            </w:r>
          </w:p>
        </w:tc>
        <w:tc>
          <w:tcPr>
            <w:tcW w:w="1640"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lang w:val="en-GB"/>
              </w:rPr>
              <w:instrText>ADDIN CSL_CITATION {"citationItems":[{"id":"ITEM-1","itemData":{"author":[{"dropping-particle":"","family":"ICCN","given":"","non-dropping-particle":"","parse-names":false,"suffix":""}],"id":"ITEM-1","issued":{"date-parts":[["2012"]]},"title":"Strategie nationale de conservation de la biodiversite dans les aires protegees de la Republique Democratique du Congo","type":"report"},"uris":["http://www.mendeley.com/documents/?uuid=7ae8f178-dcb4-40d2-b2d0-511c821a1b3d"]},{"id":"ITEM-2","itemData":{"author":[{"dropping-particle":"","family":"MECNDD","given":"","non-dropping-particle":"","parse-names":false,"suffix":""}],"id":"ITEM-2","issued":{"date-parts":[["2016"]]},"title":"Strategie et plan d'action nationaux de la biodiversite (2016-2020)","type":"book"},"uris":["http://www.mendeley.com/documents/?uuid=b2194c17-cb9b-44ea-833e-2474c8ec717c"]}],"mendeley":{"formattedCitation":"(ICCN, 2012; MECNDD, 2016)","plainTextFormattedCitation":"(ICCN, 2012; MECNDD, 2016)","previouslyFormattedCitation":"(ICCN, 2012; MECNDD, 2016)"},"properties":{"noteIndex":0},"schema":"https://github.com/citation-style-language/schema/raw/master/csl-citation.json"}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lang w:val="en-GB"/>
              </w:rPr>
              <w:t>(ICCN, 2012; MECNDD, 2016)</w:t>
            </w:r>
            <w:r w:rsidRPr="003E499A">
              <w:rPr>
                <w:rFonts w:ascii="Times New Roman" w:hAnsi="Times New Roman" w:cs="Times New Roman"/>
                <w:color w:val="000000" w:themeColor="text1"/>
                <w:sz w:val="18"/>
                <w:szCs w:val="18"/>
              </w:rPr>
              <w:fldChar w:fldCharType="end"/>
            </w:r>
          </w:p>
        </w:tc>
      </w:tr>
      <w:tr w:rsidR="00BC3879" w:rsidRPr="003E499A" w:rsidTr="00913AD0">
        <w:tc>
          <w:tcPr>
            <w:tcW w:w="483" w:type="dxa"/>
          </w:tcPr>
          <w:p w:rsidR="00F17E02" w:rsidRPr="003E499A" w:rsidRDefault="00F17E02" w:rsidP="00D0319C">
            <w:pPr>
              <w:rPr>
                <w:rFonts w:ascii="Times New Roman" w:hAnsi="Times New Roman" w:cs="Times New Roman"/>
                <w:sz w:val="20"/>
                <w:szCs w:val="20"/>
                <w:lang w:val="en-GB"/>
              </w:rPr>
            </w:pPr>
            <w:r w:rsidRPr="003E499A">
              <w:rPr>
                <w:rFonts w:ascii="Times New Roman" w:hAnsi="Times New Roman" w:cs="Times New Roman"/>
                <w:sz w:val="20"/>
                <w:szCs w:val="20"/>
                <w:lang w:val="en-GB"/>
              </w:rPr>
              <w:t xml:space="preserve">12. </w:t>
            </w:r>
          </w:p>
        </w:tc>
        <w:tc>
          <w:tcPr>
            <w:tcW w:w="2325" w:type="dxa"/>
          </w:tcPr>
          <w:p w:rsidR="00F17E02" w:rsidRPr="00C16C51" w:rsidRDefault="00F17E02" w:rsidP="00D0319C">
            <w:pPr>
              <w:rPr>
                <w:rFonts w:ascii="Times New Roman" w:hAnsi="Times New Roman" w:cs="Times New Roman"/>
                <w:color w:val="000000" w:themeColor="text1"/>
                <w:sz w:val="18"/>
                <w:szCs w:val="18"/>
                <w:lang w:val="en-GB"/>
              </w:rPr>
            </w:pPr>
            <w:bookmarkStart w:id="31" w:name="_Hlk133509963"/>
            <w:r w:rsidRPr="00C16C51">
              <w:rPr>
                <w:rFonts w:ascii="Times New Roman" w:hAnsi="Times New Roman" w:cs="Times New Roman"/>
                <w:color w:val="000000" w:themeColor="text1"/>
                <w:sz w:val="18"/>
                <w:szCs w:val="18"/>
                <w:lang w:val="en-GB"/>
              </w:rPr>
              <w:t>The 2014 Nature Conservation Law in DRC</w:t>
            </w:r>
            <w:bookmarkEnd w:id="31"/>
          </w:p>
        </w:tc>
        <w:tc>
          <w:tcPr>
            <w:tcW w:w="2496"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The New law enacted to support national strategies concerning the conservation of nature.</w:t>
            </w:r>
            <w:r w:rsidR="000D50B7">
              <w:rPr>
                <w:rFonts w:ascii="Times New Roman" w:hAnsi="Times New Roman" w:cs="Times New Roman"/>
                <w:color w:val="000000" w:themeColor="text1"/>
                <w:sz w:val="18"/>
                <w:szCs w:val="18"/>
                <w:lang w:val="en-GB"/>
              </w:rPr>
              <w:t xml:space="preserve"> </w:t>
            </w:r>
            <w:r w:rsidRPr="003E499A">
              <w:rPr>
                <w:rFonts w:ascii="Times New Roman" w:hAnsi="Times New Roman" w:cs="Times New Roman"/>
                <w:color w:val="000000" w:themeColor="text1"/>
                <w:sz w:val="18"/>
                <w:szCs w:val="18"/>
                <w:lang w:val="en-GB"/>
              </w:rPr>
              <w:t xml:space="preserve">It clarifies certain regulations relating to conservation and sustainable management of natural resources, biological diversity, ecosystems, sites and monuments </w:t>
            </w:r>
            <w:r w:rsidR="00BC3879">
              <w:rPr>
                <w:rFonts w:ascii="Times New Roman" w:hAnsi="Times New Roman" w:cs="Times New Roman"/>
                <w:color w:val="000000" w:themeColor="text1"/>
                <w:sz w:val="18"/>
                <w:szCs w:val="18"/>
                <w:lang w:val="en-GB"/>
              </w:rPr>
              <w:t>situated within the boundaries of a nation.</w:t>
            </w:r>
            <w:r w:rsidR="000D50B7">
              <w:rPr>
                <w:rFonts w:ascii="Times New Roman" w:hAnsi="Times New Roman" w:cs="Times New Roman"/>
                <w:color w:val="000000" w:themeColor="text1"/>
                <w:sz w:val="18"/>
                <w:szCs w:val="18"/>
                <w:lang w:val="en-GB"/>
              </w:rPr>
              <w:t xml:space="preserve"> </w:t>
            </w:r>
            <w:r w:rsidRPr="003E499A">
              <w:rPr>
                <w:rFonts w:ascii="Times New Roman" w:hAnsi="Times New Roman" w:cs="Times New Roman"/>
                <w:color w:val="000000" w:themeColor="text1"/>
                <w:sz w:val="18"/>
                <w:szCs w:val="18"/>
                <w:lang w:val="en-GB"/>
              </w:rPr>
              <w:t>It repeals the Ordinance Law No 69-041 of 22 August 1969</w:t>
            </w:r>
          </w:p>
        </w:tc>
        <w:tc>
          <w:tcPr>
            <w:tcW w:w="2082" w:type="dxa"/>
          </w:tcPr>
          <w:p w:rsidR="00F17E02" w:rsidRPr="003E499A" w:rsidRDefault="00F17E02" w:rsidP="00D0319C">
            <w:pPr>
              <w:rPr>
                <w:rFonts w:ascii="Times New Roman" w:hAnsi="Times New Roman" w:cs="Times New Roman"/>
                <w:color w:val="000000" w:themeColor="text1"/>
                <w:sz w:val="18"/>
                <w:szCs w:val="18"/>
                <w:lang w:val="en-GB"/>
              </w:rPr>
            </w:pPr>
          </w:p>
        </w:tc>
        <w:tc>
          <w:tcPr>
            <w:tcW w:w="1640"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fr-FR"/>
              </w:rPr>
              <w:fldChar w:fldCharType="begin" w:fldLock="1"/>
            </w:r>
            <w:r w:rsidRPr="003E499A">
              <w:rPr>
                <w:rFonts w:ascii="Times New Roman" w:hAnsi="Times New Roman" w:cs="Times New Roman"/>
                <w:color w:val="000000" w:themeColor="text1"/>
                <w:sz w:val="18"/>
                <w:szCs w:val="18"/>
                <w:lang w:val="fr-FR"/>
              </w:rPr>
              <w:instrText>ADDIN CSL_CITATION {"citationItems":[{"id":"ITEM-1","itemData":{"DOI":"10.2305/IUCN.CH.2014.PARKS-20-2.BI.en","ISSN":"24112119","abstract":"The history of biodiversity conservation in the Democratic Republic of Congo (DRC) runs in parallel with the story of alienation of land and natural resources which began in early colonial times. There is a legacy of undemocratic laws promulgated in the time of Leopold II that still govern land rights and the conservation of biodiversity. Numerous conflicting pressures are currently exerted on the DRC Government to lease more lands and create more protected areas. I argue that while conserving biological diversity is good, there is a need to reflect deeply on how to make the management of protected areas effective and reconciled with the needs expressed by communities. I also argue that preserving biodiversity is not and should not be equated with creating more new state-owned protected areas. There are other ways to conserve biodiversity, including privately protected areas, devolution of law enforcement to local communities, and downgrading some protected areas to IUCN Category VI, with proper zoning to reflect the reality of management. This is a complex process and involves strong political decisions and should be supported by a thorough assessment of the entire protected area network. I suggest that the key to success in preserving biodiversity in DRC is a proper land rights system and local law enforcement, which will make local communities allies rather than opponents to conservation.","author":[{"dropping-particle":"","family":"Inogwabini","given":"Bila Isia","non-dropping-particle":"","parse-names":false,"suffix":""}],"container-title":"Parks","id":"ITEM-1","issue":"2","issued":{"date-parts":[["2014"]]},"page":"101-110","title":"Conserving biodiversity in the democratic Republic of Congo: A brief history, current trends and insights for the future","type":"article-journal","volume":"20"},"uris":["http://www.mendeley.com/documents/?uuid=408b65e9-560b-4992-af2a-a1b91dbdb0b7"]},{"id":"ITEM-2","itemData":{"author":[{"dropping-particle":"","family":"Palais du peuple","given":"","non-dropping-particle":"","parse-names":false,"suffix":""}],"id":"ITEM-2","issued":{"date-parts":[["2014"]]},"title":"Loi relative à la conservation de la nature","type":"legislation"},"uris":["http://www.mendeley.com/docum</w:instrText>
            </w:r>
            <w:r w:rsidRPr="003E499A">
              <w:rPr>
                <w:rFonts w:ascii="Times New Roman" w:hAnsi="Times New Roman" w:cs="Times New Roman"/>
                <w:color w:val="000000" w:themeColor="text1"/>
                <w:sz w:val="18"/>
                <w:szCs w:val="18"/>
                <w:lang w:val="en-GB"/>
              </w:rPr>
              <w:instrText>ents/?uuid=516f9ba3-361d-40fe-8d14-7790503bc3d6"]},{"id":"ITEM-3","itemData":{"author":[{"dropping-particle":"","family":"MECNDD","given":"","non-dropping-particle":"","parse-names":false,"suffix":""}],"id":"ITEM-3","issued":{"date-parts":[["2016"]]},"title":"Strategie et plan d'action nationaux de la biodiversite (2016-2020)","type":"book"},"uris":["http://www.mendeley.com/documents/?uuid=b2194c17-cb9b-44ea-833e-2474c8ec717c"]},{"id":"ITEM-4","itemData":{"author":[{"dropping-particle":"","family":"Koné","given":"Lassana","non-dropping-particle":"","parse-names":false,"suffix":""},{"dropping-particle":"","family":"Mukumba","given":"Pacifque","non-dropping-particle":"","parse-names":false,"suffix":""}],"id":"ITEM-4","issued":{"date-parts":[["2018"]]},"number-of-pages":"1-57","title":"La Conservation et les droits des communautés locales et des peuples autochtones en République Démocratique du Congo : Note de Plaidoyer","type":"report"},"uris":["http://www.mendeley.com/documents/?uuid=636a0b39-64a1-409e-9830-385cb096491b"]}],"mendeley":{"formattedCitation":"(Inogwabini, 2014; Palais du peuple, 2014; MECNDD, 2016; Koné and Mukumba, 2018)","plainTextFormattedCitation":"(Inogwabini, 2014; Palais du peuple, 2014; MECNDD, 2016; Koné and Mukumba, 2018)","previouslyFormattedCitation":"(Inogwabini, 2014; Palais du peuple, 2014; MECNDD, 2016; Koné and Mukumba, 2018)"},"properties":{"noteIndex":0},"schema":"https://github.com/citation-style-language/schema/raw/master/csl-citation.json"}</w:instrText>
            </w:r>
            <w:r w:rsidRPr="003E499A">
              <w:rPr>
                <w:rFonts w:ascii="Times New Roman" w:hAnsi="Times New Roman" w:cs="Times New Roman"/>
                <w:color w:val="000000" w:themeColor="text1"/>
                <w:sz w:val="18"/>
                <w:szCs w:val="18"/>
                <w:lang w:val="fr-FR"/>
              </w:rPr>
              <w:fldChar w:fldCharType="separate"/>
            </w:r>
            <w:r w:rsidRPr="003E499A">
              <w:rPr>
                <w:rFonts w:ascii="Times New Roman" w:hAnsi="Times New Roman" w:cs="Times New Roman"/>
                <w:noProof/>
                <w:color w:val="000000" w:themeColor="text1"/>
                <w:sz w:val="18"/>
                <w:szCs w:val="18"/>
                <w:lang w:val="en-GB"/>
              </w:rPr>
              <w:t>(Inogwabini, 2014; Palais du peuple, 2014; MECNDD, 2016; Koné and Mukumba, 2018)</w:t>
            </w:r>
            <w:r w:rsidRPr="003E499A">
              <w:rPr>
                <w:rFonts w:ascii="Times New Roman" w:hAnsi="Times New Roman" w:cs="Times New Roman"/>
                <w:color w:val="000000" w:themeColor="text1"/>
                <w:sz w:val="18"/>
                <w:szCs w:val="18"/>
                <w:lang w:val="fr-FR"/>
              </w:rPr>
              <w:fldChar w:fldCharType="end"/>
            </w:r>
          </w:p>
        </w:tc>
      </w:tr>
      <w:tr w:rsidR="00BC3879" w:rsidRPr="003E499A" w:rsidTr="00913AD0">
        <w:tc>
          <w:tcPr>
            <w:tcW w:w="483" w:type="dxa"/>
          </w:tcPr>
          <w:p w:rsidR="00F17E02" w:rsidRPr="003E499A" w:rsidRDefault="00F17E02" w:rsidP="00D0319C">
            <w:pPr>
              <w:rPr>
                <w:rFonts w:ascii="Times New Roman" w:hAnsi="Times New Roman" w:cs="Times New Roman"/>
                <w:sz w:val="20"/>
                <w:szCs w:val="20"/>
                <w:lang w:val="en-GB"/>
              </w:rPr>
            </w:pPr>
            <w:r w:rsidRPr="003E499A">
              <w:rPr>
                <w:rFonts w:ascii="Times New Roman" w:hAnsi="Times New Roman" w:cs="Times New Roman"/>
                <w:sz w:val="20"/>
                <w:szCs w:val="20"/>
                <w:lang w:val="en-GB"/>
              </w:rPr>
              <w:t>13.</w:t>
            </w:r>
          </w:p>
        </w:tc>
        <w:tc>
          <w:tcPr>
            <w:tcW w:w="2325" w:type="dxa"/>
          </w:tcPr>
          <w:p w:rsidR="00F17E02" w:rsidRPr="003E499A" w:rsidRDefault="00F17E02" w:rsidP="00D0319C">
            <w:pPr>
              <w:rPr>
                <w:rFonts w:ascii="Times New Roman" w:hAnsi="Times New Roman" w:cs="Times New Roman"/>
                <w:color w:val="000000" w:themeColor="text1"/>
                <w:sz w:val="18"/>
                <w:szCs w:val="18"/>
                <w:lang w:val="en-GB"/>
              </w:rPr>
            </w:pPr>
            <w:bookmarkStart w:id="32" w:name="_Hlk133509979"/>
            <w:r w:rsidRPr="00BC3879">
              <w:rPr>
                <w:rFonts w:ascii="Times New Roman" w:hAnsi="Times New Roman" w:cs="Times New Roman"/>
                <w:color w:val="000000" w:themeColor="text1"/>
                <w:sz w:val="18"/>
                <w:szCs w:val="18"/>
                <w:lang w:val="en-GB"/>
              </w:rPr>
              <w:t>National Biodiversity Strategy and Action Plan (2016-2020)</w:t>
            </w:r>
            <w:bookmarkEnd w:id="32"/>
          </w:p>
        </w:tc>
        <w:tc>
          <w:tcPr>
            <w:tcW w:w="2496"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lang w:val="en-GB"/>
              </w:rPr>
              <w:t>Formulated to respond to the recommendations of the Convention on Bio-diversity, the strategy covers the period 2016-2020 and replaces the national biodiversity strategy of 2002.</w:t>
            </w:r>
          </w:p>
        </w:tc>
        <w:tc>
          <w:tcPr>
            <w:tcW w:w="2082" w:type="dxa"/>
          </w:tcPr>
          <w:p w:rsidR="00F17E02" w:rsidRPr="003E499A" w:rsidRDefault="00F17E02" w:rsidP="00D0319C">
            <w:pPr>
              <w:rPr>
                <w:rFonts w:ascii="Times New Roman" w:hAnsi="Times New Roman" w:cs="Times New Roman"/>
                <w:color w:val="000000" w:themeColor="text1"/>
                <w:sz w:val="18"/>
                <w:szCs w:val="18"/>
                <w:lang w:val="en-GB"/>
              </w:rPr>
            </w:pPr>
          </w:p>
        </w:tc>
        <w:tc>
          <w:tcPr>
            <w:tcW w:w="1640" w:type="dxa"/>
          </w:tcPr>
          <w:p w:rsidR="00F17E02" w:rsidRPr="003E499A" w:rsidRDefault="00F17E02" w:rsidP="00D0319C">
            <w:pPr>
              <w:rPr>
                <w:rFonts w:ascii="Times New Roman" w:hAnsi="Times New Roman" w:cs="Times New Roman"/>
                <w:color w:val="000000" w:themeColor="text1"/>
                <w:sz w:val="18"/>
                <w:szCs w:val="18"/>
                <w:lang w:val="en-GB"/>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lang w:val="en-GB"/>
              </w:rPr>
              <w:instrText>ADDIN CSL_CITATION {"citationItems":[{"id":"ITEM-1","itemData":{"author":[{"dropping-particle":"","family":"MECNDD","given":"","non-dropping-particle":"","parse-names":false,"suffix":""}],"id":"ITEM-1","issued":{"date-parts":[["2016"]]},"title":"Strategie et plan d'action nationaux de la biodiversite (2016-2020)","type":"book"},"uris":["http://www.mendeley.com/documents/?uuid=b2194c17-cb9b-44ea-833e-2474c8ec717c"]}],"mendeley":{"formattedCitation":"(MECNDD, 2016)","plainTextFormattedCitation":"(MECNDD, 2016)","previouslyFormattedCitation":"(MECNDD, 2016)"},"properties":{"noteIndex":0},"schema":"https://github.com/citation-style-language/schema/raw/master/csl-citation.json"}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lang w:val="en-GB"/>
              </w:rPr>
              <w:t>(MECNDD, 2016)</w:t>
            </w:r>
            <w:r w:rsidRPr="003E499A">
              <w:rPr>
                <w:rFonts w:ascii="Times New Roman" w:hAnsi="Times New Roman" w:cs="Times New Roman"/>
                <w:color w:val="000000" w:themeColor="text1"/>
                <w:sz w:val="18"/>
                <w:szCs w:val="18"/>
              </w:rPr>
              <w:fldChar w:fldCharType="end"/>
            </w:r>
          </w:p>
        </w:tc>
      </w:tr>
    </w:tbl>
    <w:p w:rsidR="00F17E02" w:rsidRPr="003E499A" w:rsidRDefault="00F17E02" w:rsidP="00D0319C">
      <w:pPr>
        <w:spacing w:line="240" w:lineRule="auto"/>
      </w:pPr>
    </w:p>
    <w:p w:rsidR="00F17E02" w:rsidRPr="003E499A" w:rsidRDefault="00F17E02" w:rsidP="00D0319C">
      <w:pPr>
        <w:spacing w:line="240" w:lineRule="auto"/>
        <w:rPr>
          <w:rFonts w:ascii="Times New Roman" w:hAnsi="Times New Roman" w:cs="Times New Roman"/>
          <w:sz w:val="24"/>
          <w:szCs w:val="24"/>
        </w:rPr>
      </w:pPr>
      <w:r w:rsidRPr="00132367">
        <w:rPr>
          <w:rFonts w:ascii="Times New Roman" w:hAnsi="Times New Roman" w:cs="Times New Roman"/>
          <w:sz w:val="24"/>
          <w:szCs w:val="24"/>
        </w:rPr>
        <w:t xml:space="preserve">Internationally, DRC is signatory to some key international agreements such as: (1). The World Natural and Cultural Heritage Convention, 1974; (2). The Convention on Illegal Trade of Endangered Species of Flora and Fauna (CITES), 1976; </w:t>
      </w:r>
      <w:bookmarkStart w:id="33" w:name="_Hlk115577313"/>
      <w:r w:rsidRPr="00132367">
        <w:rPr>
          <w:rFonts w:ascii="Times New Roman" w:hAnsi="Times New Roman" w:cs="Times New Roman"/>
          <w:sz w:val="24"/>
          <w:szCs w:val="24"/>
        </w:rPr>
        <w:t xml:space="preserve">(3). </w:t>
      </w:r>
      <w:bookmarkEnd w:id="33"/>
      <w:r w:rsidRPr="00132367">
        <w:rPr>
          <w:rFonts w:ascii="Times New Roman" w:hAnsi="Times New Roman" w:cs="Times New Roman"/>
          <w:sz w:val="24"/>
          <w:szCs w:val="24"/>
        </w:rPr>
        <w:t xml:space="preserve">The African Convention for </w:t>
      </w:r>
      <w:r w:rsidRPr="00132367">
        <w:rPr>
          <w:rFonts w:ascii="Times New Roman" w:hAnsi="Times New Roman" w:cs="Times New Roman"/>
          <w:sz w:val="24"/>
          <w:szCs w:val="24"/>
        </w:rPr>
        <w:lastRenderedPageBreak/>
        <w:t xml:space="preserve">Nature Conservation, 1976; (4). The Convention on the Protection of Migratory Species, 1990; (5). Convention on Biological Diversity, 1994; (6). Ramsar Convention on Wetlands, 1996, etc. DRC’s constitution stipulates that all properly concluded treaties and international agreements take precedence over national laws (on condition that the parties to the treaties or convention apply them) </w:t>
      </w:r>
      <w:r w:rsidRPr="00132367">
        <w:rPr>
          <w:rFonts w:ascii="Times New Roman" w:hAnsi="Times New Roman" w:cs="Times New Roman"/>
          <w:sz w:val="24"/>
          <w:szCs w:val="24"/>
        </w:rPr>
        <w:fldChar w:fldCharType="begin" w:fldLock="1"/>
      </w:r>
      <w:r w:rsidRPr="00132367">
        <w:rPr>
          <w:rFonts w:ascii="Times New Roman" w:hAnsi="Times New Roman" w:cs="Times New Roman"/>
          <w:sz w:val="24"/>
          <w:szCs w:val="24"/>
        </w:rPr>
        <w:instrText>ADDIN CSL_CITATION {"citationItems":[{"id":"ITEM-1","itemData":{"author":[{"dropping-particle":"","family":"Palais du peuple","given":"","non-dropping-particle":"","parse-names":false,"suffix":""}],"id":"ITEM-1","issued":{"date-parts":[["2014"]]},"title":"Loi relative à la conservation de la nature","type":"legislation"},"uris":["http://www.mendeley.com/documents/?uuid=516f9ba3-361d-40fe-8d14-7790503bc3d6"]}],"mendeley":{"formattedCitation":"(Palais du peuple, 2014)","plainTextFormattedCitation":"(Palais du peuple, 2014)","previouslyFormattedCitation":"(Palais du peuple, 2014)"},"properties":{"noteIndex":0},"schema":"https://github.com/citation-style-language/schema/raw/master/csl-citation.json"}</w:instrText>
      </w:r>
      <w:r w:rsidRPr="00132367">
        <w:rPr>
          <w:rFonts w:ascii="Times New Roman" w:hAnsi="Times New Roman" w:cs="Times New Roman"/>
          <w:sz w:val="24"/>
          <w:szCs w:val="24"/>
        </w:rPr>
        <w:fldChar w:fldCharType="separate"/>
      </w:r>
      <w:r w:rsidRPr="00132367">
        <w:rPr>
          <w:rFonts w:ascii="Times New Roman" w:hAnsi="Times New Roman" w:cs="Times New Roman"/>
          <w:noProof/>
          <w:sz w:val="24"/>
          <w:szCs w:val="24"/>
        </w:rPr>
        <w:t>(Palais du peuple, 2014)</w:t>
      </w:r>
      <w:r w:rsidRPr="00132367">
        <w:rPr>
          <w:rFonts w:ascii="Times New Roman" w:hAnsi="Times New Roman" w:cs="Times New Roman"/>
          <w:sz w:val="24"/>
          <w:szCs w:val="24"/>
        </w:rPr>
        <w:fldChar w:fldCharType="end"/>
      </w:r>
      <w:r w:rsidRPr="00132367">
        <w:rPr>
          <w:rFonts w:ascii="Times New Roman" w:hAnsi="Times New Roman" w:cs="Times New Roman"/>
          <w:sz w:val="24"/>
          <w:szCs w:val="24"/>
        </w:rPr>
        <w:t>.</w:t>
      </w:r>
    </w:p>
    <w:bookmarkEnd w:id="18"/>
    <w:p w:rsidR="00F17E02" w:rsidRPr="003E499A" w:rsidRDefault="00F17E02" w:rsidP="00F37338">
      <w:pPr>
        <w:pStyle w:val="Heading4"/>
      </w:pPr>
      <w:r w:rsidRPr="003E499A">
        <w:t>Rwanda conservation policy and legal instruments</w:t>
      </w:r>
    </w:p>
    <w:p w:rsidR="00F17E02" w:rsidRPr="003E499A" w:rsidRDefault="00F17E02" w:rsidP="00D0319C">
      <w:pPr>
        <w:spacing w:line="240" w:lineRule="auto"/>
        <w:rPr>
          <w:rFonts w:ascii="Times New Roman" w:hAnsi="Times New Roman" w:cs="Times New Roman"/>
          <w:sz w:val="24"/>
          <w:szCs w:val="24"/>
        </w:rPr>
      </w:pPr>
      <w:r w:rsidRPr="003E499A">
        <w:rPr>
          <w:rFonts w:ascii="Times New Roman" w:hAnsi="Times New Roman" w:cs="Times New Roman"/>
          <w:sz w:val="24"/>
          <w:szCs w:val="24"/>
        </w:rPr>
        <w:t xml:space="preserve">Rwanda possesses a comprehensive legal framework for </w:t>
      </w:r>
      <w:r w:rsidR="008153F6">
        <w:rPr>
          <w:rFonts w:ascii="Times New Roman" w:hAnsi="Times New Roman" w:cs="Times New Roman"/>
          <w:sz w:val="24"/>
          <w:szCs w:val="24"/>
        </w:rPr>
        <w:t xml:space="preserve">conservation and </w:t>
      </w:r>
      <w:r w:rsidRPr="003E499A">
        <w:rPr>
          <w:rFonts w:ascii="Times New Roman" w:hAnsi="Times New Roman" w:cs="Times New Roman"/>
          <w:sz w:val="24"/>
          <w:szCs w:val="24"/>
        </w:rPr>
        <w:t>environmental management. Rwandan environmental strategies, policies, plans, and laws combine together to provide the basis for the sustainable preservation of biodiversity</w:t>
      </w:r>
      <w:r>
        <w:rPr>
          <w:rFonts w:ascii="Times New Roman" w:hAnsi="Times New Roman" w:cs="Times New Roman"/>
          <w:sz w:val="24"/>
          <w:szCs w:val="24"/>
        </w:rPr>
        <w:t>, and to a very limited extent</w:t>
      </w:r>
      <w:r w:rsidRPr="003E499A">
        <w:rPr>
          <w:rFonts w:ascii="Times New Roman" w:hAnsi="Times New Roman" w:cs="Times New Roman"/>
          <w:sz w:val="24"/>
          <w:szCs w:val="24"/>
        </w:rPr>
        <w:t xml:space="preserve"> the historical, geological, and cultural heritage of the country. From 2011 onwards, this legal framework has particularly been updated and enriched with new legal pieces:</w:t>
      </w:r>
    </w:p>
    <w:p w:rsidR="008F575F" w:rsidRDefault="00F17E02" w:rsidP="008F575F">
      <w:pPr>
        <w:pStyle w:val="Caption"/>
        <w:keepNext/>
        <w:jc w:val="left"/>
      </w:pPr>
      <w:bookmarkStart w:id="34" w:name="_Hlk117990890"/>
      <w:r w:rsidRPr="003E499A">
        <w:t xml:space="preserve">Table </w:t>
      </w:r>
      <w:fldSimple w:instr=" STYLEREF 1 \s ">
        <w:r w:rsidR="008F575F">
          <w:rPr>
            <w:noProof/>
          </w:rPr>
          <w:t>3</w:t>
        </w:r>
      </w:fldSimple>
      <w:r w:rsidR="008F575F">
        <w:t>.</w:t>
      </w:r>
      <w:fldSimple w:instr=" SEQ Table \* ARABIC \s 1 ">
        <w:r w:rsidR="008F575F">
          <w:rPr>
            <w:noProof/>
          </w:rPr>
          <w:t>2</w:t>
        </w:r>
      </w:fldSimple>
      <w:r w:rsidRPr="003E499A">
        <w:t>. Major conservation policy and legal instruments in Rwanda</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441"/>
        <w:gridCol w:w="2182"/>
        <w:gridCol w:w="2781"/>
        <w:gridCol w:w="1817"/>
        <w:gridCol w:w="1805"/>
      </w:tblGrid>
      <w:tr w:rsidR="00F17E02" w:rsidRPr="003E499A" w:rsidTr="008F575F">
        <w:tc>
          <w:tcPr>
            <w:tcW w:w="441" w:type="dxa"/>
          </w:tcPr>
          <w:bookmarkEnd w:id="34"/>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b/>
                <w:bCs/>
                <w:sz w:val="18"/>
                <w:szCs w:val="18"/>
              </w:rPr>
              <w:t>No</w:t>
            </w:r>
          </w:p>
        </w:tc>
        <w:tc>
          <w:tcPr>
            <w:tcW w:w="2182"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b/>
                <w:bCs/>
                <w:sz w:val="18"/>
                <w:szCs w:val="18"/>
              </w:rPr>
              <w:t>Primary piece of legislation/policy</w:t>
            </w:r>
          </w:p>
        </w:tc>
        <w:tc>
          <w:tcPr>
            <w:tcW w:w="2781"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b/>
                <w:bCs/>
                <w:sz w:val="18"/>
                <w:szCs w:val="18"/>
              </w:rPr>
              <w:t>Conservation component</w:t>
            </w:r>
          </w:p>
        </w:tc>
        <w:tc>
          <w:tcPr>
            <w:tcW w:w="1817"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b/>
                <w:bCs/>
                <w:sz w:val="18"/>
                <w:szCs w:val="18"/>
              </w:rPr>
              <w:t>Weakness</w:t>
            </w:r>
          </w:p>
        </w:tc>
        <w:tc>
          <w:tcPr>
            <w:tcW w:w="1805"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b/>
                <w:bCs/>
                <w:sz w:val="18"/>
                <w:szCs w:val="18"/>
              </w:rPr>
              <w:t>Source</w:t>
            </w:r>
          </w:p>
        </w:tc>
      </w:tr>
      <w:tr w:rsidR="00F17E02" w:rsidRPr="003E499A" w:rsidTr="008F575F">
        <w:tc>
          <w:tcPr>
            <w:tcW w:w="441" w:type="dxa"/>
          </w:tcPr>
          <w:p w:rsidR="00F17E02" w:rsidRPr="003E499A" w:rsidRDefault="00F17E02" w:rsidP="00D0319C">
            <w:pPr>
              <w:rPr>
                <w:rFonts w:ascii="Times New Roman" w:hAnsi="Times New Roman" w:cs="Times New Roman"/>
                <w:sz w:val="18"/>
                <w:szCs w:val="18"/>
                <w:lang w:val="en-GB"/>
              </w:rPr>
            </w:pPr>
            <w:r>
              <w:rPr>
                <w:rFonts w:ascii="Times New Roman" w:hAnsi="Times New Roman" w:cs="Times New Roman"/>
                <w:sz w:val="18"/>
                <w:szCs w:val="18"/>
                <w:lang w:val="en-GB"/>
              </w:rPr>
              <w:t>1.</w:t>
            </w:r>
          </w:p>
        </w:tc>
        <w:tc>
          <w:tcPr>
            <w:tcW w:w="2182" w:type="dxa"/>
          </w:tcPr>
          <w:p w:rsidR="00F17E02" w:rsidRPr="003E499A" w:rsidRDefault="00F17E02" w:rsidP="00D0319C">
            <w:pPr>
              <w:rPr>
                <w:rFonts w:ascii="Times New Roman" w:hAnsi="Times New Roman" w:cs="Times New Roman"/>
                <w:sz w:val="18"/>
                <w:szCs w:val="18"/>
                <w:lang w:val="en-GB"/>
              </w:rPr>
            </w:pPr>
            <w:r w:rsidRPr="00BC3879">
              <w:rPr>
                <w:rFonts w:ascii="Times New Roman" w:hAnsi="Times New Roman" w:cs="Times New Roman"/>
                <w:sz w:val="18"/>
                <w:szCs w:val="18"/>
                <w:lang w:val="en-GB"/>
              </w:rPr>
              <w:t>National Biodiversity Strategy and Action Plan, 2003</w:t>
            </w:r>
          </w:p>
        </w:tc>
        <w:tc>
          <w:tcPr>
            <w:tcW w:w="2781"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 xml:space="preserve">Has identified major threats to biodiversity conservation in Rwanda and introduced major provisions to improve the conservation of PAs and protected wetlands, as well as ensure the sustainable use of biodiversity, natural ecosystems, and </w:t>
            </w:r>
            <w:proofErr w:type="spellStart"/>
            <w:r w:rsidRPr="003E499A">
              <w:rPr>
                <w:rFonts w:ascii="Times New Roman" w:hAnsi="Times New Roman" w:cs="Times New Roman"/>
                <w:sz w:val="18"/>
                <w:szCs w:val="18"/>
                <w:lang w:val="en-GB"/>
              </w:rPr>
              <w:t>agro</w:t>
            </w:r>
            <w:proofErr w:type="spellEnd"/>
            <w:r w:rsidRPr="003E499A">
              <w:rPr>
                <w:rFonts w:ascii="Times New Roman" w:hAnsi="Times New Roman" w:cs="Times New Roman"/>
                <w:sz w:val="18"/>
                <w:szCs w:val="18"/>
                <w:lang w:val="en-GB"/>
              </w:rPr>
              <w:t>-ecosystems.</w:t>
            </w:r>
          </w:p>
        </w:tc>
        <w:tc>
          <w:tcPr>
            <w:tcW w:w="1817" w:type="dxa"/>
          </w:tcPr>
          <w:p w:rsidR="00F17E02" w:rsidRPr="000D50B7" w:rsidRDefault="00F17E02" w:rsidP="00D0319C">
            <w:pPr>
              <w:rPr>
                <w:rFonts w:ascii="Times New Roman" w:hAnsi="Times New Roman" w:cs="Times New Roman"/>
                <w:sz w:val="18"/>
                <w:szCs w:val="18"/>
              </w:rPr>
            </w:pPr>
            <w:r w:rsidRPr="003E499A">
              <w:rPr>
                <w:rFonts w:ascii="Times New Roman" w:hAnsi="Times New Roman" w:cs="Times New Roman"/>
                <w:sz w:val="18"/>
                <w:szCs w:val="18"/>
                <w:lang w:val="en-GB"/>
              </w:rPr>
              <w:t xml:space="preserve">Conflicting priorities depending on institutional mandates; </w:t>
            </w:r>
            <w:r w:rsidRPr="003E499A">
              <w:rPr>
                <w:rFonts w:ascii="Times New Roman" w:hAnsi="Times New Roman" w:cs="Times New Roman"/>
                <w:sz w:val="18"/>
                <w:szCs w:val="18"/>
              </w:rPr>
              <w:t xml:space="preserve">Disconnection between legalities and realities; Lack of integration of biodiversity considerations into land-use planning procedures and environmental assessments; and Lack of benefits sharing policy in </w:t>
            </w:r>
            <w:proofErr w:type="spellStart"/>
            <w:r w:rsidRPr="003E499A">
              <w:rPr>
                <w:rFonts w:ascii="Times New Roman" w:hAnsi="Times New Roman" w:cs="Times New Roman"/>
                <w:sz w:val="18"/>
                <w:szCs w:val="18"/>
              </w:rPr>
              <w:t>agro</w:t>
            </w:r>
            <w:proofErr w:type="spellEnd"/>
            <w:r w:rsidRPr="003E499A">
              <w:rPr>
                <w:rFonts w:ascii="Times New Roman" w:hAnsi="Times New Roman" w:cs="Times New Roman"/>
                <w:sz w:val="18"/>
                <w:szCs w:val="18"/>
              </w:rPr>
              <w:t>-ecosystems.</w:t>
            </w:r>
          </w:p>
        </w:tc>
        <w:tc>
          <w:tcPr>
            <w:tcW w:w="1805"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rPr>
              <w:fldChar w:fldCharType="begin" w:fldLock="1"/>
            </w:r>
            <w:r w:rsidRPr="003E499A">
              <w:rPr>
                <w:rFonts w:ascii="Times New Roman" w:hAnsi="Times New Roman" w:cs="Times New Roman"/>
                <w:sz w:val="18"/>
                <w:szCs w:val="18"/>
                <w:lang w:val="en-GB"/>
              </w:rPr>
              <w:instrText>ADDIN CSL_CITATION {"citationItems":[{"id":"ITEM-1","itemData":{"ISBN":"2525576853","ISSN":"2150-8925","abstract":"Ministry of Health National Policy Guidelines for Integrated Vector Management (IVM) 2012 3 Foreword Although there are a number of health policy guidelines, strategies and related work plans to control malaria and various other vector borne diseases, the Ministry of Health faces a number of challenges in implementing integrated and cost-effective approaches to control these vector borne diseases. The challenges include: inadequate capacity for evidence based decision making, lack of awareness by other sectors and communities of their role in vector control, inadequate institutional frameworks and policies for joint planning and implementation by different sectors, communities and other stakeholders, and tool-focused interventions such as for LLINs, IRS, larval source management, which tend to run largely independent of each other. In order to consolidate the gains made in the control of malaria in the last few years, it is important that the country changes the current parallel management system and embrace an integrated and more cost-effective approach to the control of malaria and other vector borne diseases (MPR, 2011). This recommendation was also made by the stakeholders meeting on the vector control needs assessment that was held in Kigali in February 2011 (VCNA, 2011). These policy guidelines have therefore been developed to harmonize vector control efforts into an overarching integrated vector management (IVM) policy framework that will address the challenges that plague the current system of vector control. It is my sincere hope that the policy enabling instruments described in this guidance document will anchor strategic vector control interventions and provide a conducive environment that will support and fast track IVM implementation in the country to further reduce the burden due to malaria and other vector borne diseases.","author":[{"dropping-particle":"","family":"MINIRENA","given":"","non-dropping-particle":"","parse-names":false,"suffix":""}],"id":"ITEM-1","issued":{"date-parts":[["2016"]]},"title":"National biodiversity strategy and action plan","type":"report"},"uris":["http://www.mendeley.com/documents/?uuid=1959dc73-6b26-48eb-8d55-556bd849bc46"]}],"mendeley":{"formattedCitation":"(MINIRENA, 2016)","plainTextFormattedCitation":"(MINIRENA, 2016)","previouslyFormattedCitation":"(MINIRENA, 2016)"},"properties":{"noteIndex":0},"schema":"https://github.com/citation-style-language/schema/raw/master/csl-citation.json"}</w:instrText>
            </w:r>
            <w:r w:rsidRPr="003E499A">
              <w:rPr>
                <w:rFonts w:ascii="Times New Roman" w:hAnsi="Times New Roman" w:cs="Times New Roman"/>
                <w:sz w:val="18"/>
                <w:szCs w:val="18"/>
              </w:rPr>
              <w:fldChar w:fldCharType="separate"/>
            </w:r>
            <w:r w:rsidRPr="003E499A">
              <w:rPr>
                <w:rFonts w:ascii="Times New Roman" w:hAnsi="Times New Roman" w:cs="Times New Roman"/>
                <w:noProof/>
                <w:sz w:val="18"/>
                <w:szCs w:val="18"/>
                <w:lang w:val="en-GB"/>
              </w:rPr>
              <w:t>(MINIRENA, 2016)</w:t>
            </w:r>
            <w:r w:rsidRPr="003E499A">
              <w:rPr>
                <w:rFonts w:ascii="Times New Roman" w:hAnsi="Times New Roman" w:cs="Times New Roman"/>
                <w:sz w:val="18"/>
                <w:szCs w:val="18"/>
              </w:rPr>
              <w:fldChar w:fldCharType="end"/>
            </w:r>
          </w:p>
        </w:tc>
      </w:tr>
      <w:tr w:rsidR="00F17E02" w:rsidRPr="003E499A" w:rsidTr="008F575F">
        <w:tc>
          <w:tcPr>
            <w:tcW w:w="441" w:type="dxa"/>
          </w:tcPr>
          <w:p w:rsidR="00F17E02" w:rsidRPr="003E499A" w:rsidRDefault="00F17E02" w:rsidP="00D0319C">
            <w:pPr>
              <w:rPr>
                <w:rFonts w:ascii="Times New Roman" w:hAnsi="Times New Roman" w:cs="Times New Roman"/>
                <w:sz w:val="18"/>
                <w:szCs w:val="18"/>
                <w:lang w:val="en-GB"/>
              </w:rPr>
            </w:pPr>
            <w:r>
              <w:rPr>
                <w:rFonts w:ascii="Times New Roman" w:hAnsi="Times New Roman" w:cs="Times New Roman"/>
                <w:sz w:val="18"/>
                <w:szCs w:val="18"/>
                <w:lang w:val="en-GB"/>
              </w:rPr>
              <w:t>2.</w:t>
            </w:r>
          </w:p>
        </w:tc>
        <w:tc>
          <w:tcPr>
            <w:tcW w:w="2182"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Environmental Policy, 2004</w:t>
            </w:r>
          </w:p>
        </w:tc>
        <w:tc>
          <w:tcPr>
            <w:tcW w:w="2781"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 xml:space="preserve">Ensure the protection of the environment and guarantees the conservation and sustainable use of biodiversity, natural, and </w:t>
            </w:r>
            <w:proofErr w:type="spellStart"/>
            <w:r w:rsidRPr="003E499A">
              <w:rPr>
                <w:rFonts w:ascii="Times New Roman" w:hAnsi="Times New Roman" w:cs="Times New Roman"/>
                <w:sz w:val="18"/>
                <w:szCs w:val="18"/>
                <w:lang w:val="en-GB"/>
              </w:rPr>
              <w:t>agro</w:t>
            </w:r>
            <w:proofErr w:type="spellEnd"/>
            <w:r w:rsidRPr="003E499A">
              <w:rPr>
                <w:rFonts w:ascii="Times New Roman" w:hAnsi="Times New Roman" w:cs="Times New Roman"/>
                <w:sz w:val="18"/>
                <w:szCs w:val="18"/>
                <w:lang w:val="en-GB"/>
              </w:rPr>
              <w:t>-ecosystems in compliance with equitable sharing of benefits derived from biological resources</w:t>
            </w:r>
          </w:p>
        </w:tc>
        <w:tc>
          <w:tcPr>
            <w:tcW w:w="1817" w:type="dxa"/>
          </w:tcPr>
          <w:p w:rsidR="00F17E02" w:rsidRPr="003E499A" w:rsidRDefault="00F17E02" w:rsidP="00D0319C">
            <w:pPr>
              <w:rPr>
                <w:rFonts w:ascii="Times New Roman" w:hAnsi="Times New Roman" w:cs="Times New Roman"/>
                <w:sz w:val="18"/>
                <w:szCs w:val="18"/>
                <w:lang w:val="en-GB"/>
              </w:rPr>
            </w:pPr>
          </w:p>
        </w:tc>
        <w:tc>
          <w:tcPr>
            <w:tcW w:w="1805"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rPr>
              <w:fldChar w:fldCharType="begin" w:fldLock="1"/>
            </w:r>
            <w:r w:rsidRPr="003E499A">
              <w:rPr>
                <w:rFonts w:ascii="Times New Roman" w:hAnsi="Times New Roman" w:cs="Times New Roman"/>
                <w:sz w:val="18"/>
                <w:szCs w:val="18"/>
                <w:lang w:val="en-GB"/>
              </w:rPr>
              <w:instrText>ADDIN CSL_CITATION {"citationItems":[{"id":"ITEM-1","itemData":{"author":[{"dropping-particle":"","family":"Ministry of lands","given":"resettlement and environment","non-dropping-particle":"","parse-names":false,"suffix":""}],"id":"ITEM-1","issued":{"date-parts":[["2003"]]},"title":"Republic of Rwanda Ministry of Lands, Resettlement and Environment \" Rwanda Environmental Policy \"","type":"report"},"uris":["http://www.mendeley.com/documents/?uuid=6c9999cf-b7a6-44f9-81fa-86288036ff1b"]},{"id":"ITEM-2","itemData":{"ISBN":"2525576853","ISSN":"2150-8925","abstract":"Ministry of Health National Policy Guidelines for Integrated Vector Management (IVM) 2012 3 Foreword Although there are a number of health policy guidelines, strategies and related work plans to control malaria and various other vector borne diseases, the Ministry of Health faces a number of challenges in implementing integrated and cost-effective approaches to control these vector borne diseases. The challenges include: inadequate capacity for evidence based decision making, lack of awareness by other sectors and communities of their role in vector control, inadequate institutional frameworks and policies for joint planning and implementation by different sectors, communities and other stakeholders, and tool-focused interventions such as for LLINs, IRS, larval source management, which tend to run largely independent of each other. In order to consolidate the gains made in the control of malaria in the last few years, it is important that the country changes the current parallel management system and embrace an integrated and more cost-effective approach to the control of malaria and other vector borne diseases (MPR, 2011). This recommendation was also made by the stakeholders meeting on the vector control needs assessment that was held in Kigali in February 2011 (VCNA, 2011). These policy guidelines have therefore been developed to harmonize vector control efforts into an overarching integrated vector management (IVM) policy framework that will address the challenges that plague the current system of vector control. It is my sincere hope that the policy enabling instruments described in this guidance document will anchor strategic vector control interventions and provide a conducive environment that will support and fast track IVM implementation in the country to further reduce the burden due to malaria and other vector borne diseases.","author":[{"dropping-particle":"","family":"MINIRENA","given":"","non-dropping-particle":"","parse-names":false,"suffix":""}],"id":"ITEM-2","issued":{"date-parts":[["2016"]]},"title":"National biodiversity strategy and action plan","type":"report"},"uris":["http://www.mendeley.com/documents/?uuid=1959dc73-6b26-48eb-8d55-556bd849bc46"]},{"id":"ITEM-3","itemData":{"author":[{"dropping-particle":"","family":"BIOFIN","given":"","non-dropping-particle":"","parse-names":false,"suffix":""},{"dropping-particle":"","family":"REMA","given":"","non-dropping-particle":"","parse-names":false,"suffix":""},{"dropping-particle":"","family":"UNDP","given":"","non-dropping-particle":"","parse-names":false,"suffix":""}],"id":"ITEM-3","issue":"November","issued":{"date-parts":[["2017"]]},"title":"Rwanda biodiversity finance initiative biodiversity finance policy and institutional review","type":"report"},"uris":["http://www.mendeley.com/documents/?uuid=ae091cfa-7f7a-4d92-a595-d5041191d371"]}],"mendeley":{"formattedCitation":"(Ministry of lands, 2003; MINIRENA, 2016; BIOFIN, REMA and UNDP, 2017)","plainTextFormattedCitation":"(Ministry of lands, 2003; MINIRENA, 2016; BIOFIN, REMA and UNDP, 2017)","previouslyFormattedCitation":"(Ministry of lands, 2003; MINIRENA, 2016; BIOFIN, REMA and UNDP, 2017)"},"properties":{"noteIndex":0},"schema":"https://github.com/citation-style-language/schema/raw/master/csl-citation.json"}</w:instrText>
            </w:r>
            <w:r w:rsidRPr="003E499A">
              <w:rPr>
                <w:rFonts w:ascii="Times New Roman" w:hAnsi="Times New Roman" w:cs="Times New Roman"/>
                <w:sz w:val="18"/>
                <w:szCs w:val="18"/>
              </w:rPr>
              <w:fldChar w:fldCharType="separate"/>
            </w:r>
            <w:r w:rsidRPr="003E499A">
              <w:rPr>
                <w:rFonts w:ascii="Times New Roman" w:hAnsi="Times New Roman" w:cs="Times New Roman"/>
                <w:noProof/>
                <w:sz w:val="18"/>
                <w:szCs w:val="18"/>
                <w:lang w:val="en-GB"/>
              </w:rPr>
              <w:t>(Ministry of lands, 2003; MINIRENA, 2016; BIOFIN, REMA and UNDP, 2017)</w:t>
            </w:r>
            <w:r w:rsidRPr="003E499A">
              <w:rPr>
                <w:rFonts w:ascii="Times New Roman" w:hAnsi="Times New Roman" w:cs="Times New Roman"/>
                <w:sz w:val="18"/>
                <w:szCs w:val="18"/>
              </w:rPr>
              <w:fldChar w:fldCharType="end"/>
            </w:r>
          </w:p>
        </w:tc>
      </w:tr>
      <w:tr w:rsidR="00F17E02" w:rsidRPr="003E499A" w:rsidTr="008F575F">
        <w:tc>
          <w:tcPr>
            <w:tcW w:w="441" w:type="dxa"/>
          </w:tcPr>
          <w:p w:rsidR="00F17E02" w:rsidRPr="003E499A" w:rsidRDefault="00F17E02" w:rsidP="00D0319C">
            <w:pPr>
              <w:rPr>
                <w:rFonts w:ascii="Times New Roman" w:hAnsi="Times New Roman" w:cs="Times New Roman"/>
                <w:sz w:val="18"/>
                <w:szCs w:val="18"/>
                <w:lang w:val="en-GB"/>
              </w:rPr>
            </w:pPr>
            <w:r>
              <w:rPr>
                <w:rFonts w:ascii="Times New Roman" w:hAnsi="Times New Roman" w:cs="Times New Roman"/>
                <w:sz w:val="18"/>
                <w:szCs w:val="18"/>
                <w:lang w:val="en-GB"/>
              </w:rPr>
              <w:t>3.</w:t>
            </w:r>
          </w:p>
        </w:tc>
        <w:tc>
          <w:tcPr>
            <w:tcW w:w="2182"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Tourism Policy, 2009</w:t>
            </w:r>
          </w:p>
        </w:tc>
        <w:tc>
          <w:tcPr>
            <w:tcW w:w="2781"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Puts greater emphasis on low-impact nature-based tourism to maximise both socio-economic and ecological benefits.</w:t>
            </w:r>
          </w:p>
        </w:tc>
        <w:tc>
          <w:tcPr>
            <w:tcW w:w="1817" w:type="dxa"/>
          </w:tcPr>
          <w:p w:rsidR="00F17E02" w:rsidRPr="003E499A" w:rsidRDefault="00F17E02" w:rsidP="00D0319C">
            <w:pPr>
              <w:rPr>
                <w:rFonts w:ascii="Times New Roman" w:hAnsi="Times New Roman" w:cs="Times New Roman"/>
                <w:sz w:val="18"/>
                <w:szCs w:val="18"/>
                <w:lang w:val="en-GB"/>
              </w:rPr>
            </w:pPr>
          </w:p>
        </w:tc>
        <w:tc>
          <w:tcPr>
            <w:tcW w:w="1805"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rPr>
              <w:fldChar w:fldCharType="begin" w:fldLock="1"/>
            </w:r>
            <w:r w:rsidRPr="003E499A">
              <w:rPr>
                <w:rFonts w:ascii="Times New Roman" w:hAnsi="Times New Roman" w:cs="Times New Roman"/>
                <w:sz w:val="18"/>
                <w:szCs w:val="18"/>
                <w:lang w:val="en-GB"/>
              </w:rPr>
              <w:instrText>ADDIN CSL_CITATION {"citationItems":[{"id":"ITEM-1","itemData":{"ISBN":"2525576853","ISSN":"2150-8925","abstract":"Ministry of Health National Policy Guidelines for Integrated Vector Management (IVM) 2012 3 Foreword Although there are a number of health policy guidelines, strategies and related work plans to control malaria and various other vector borne diseases, the Ministry of Health faces a number of challenges in implementing integrated and cost-effective approaches to control these vector borne diseases. The challenges include: inadequate capacity for evidence based decision making, lack of awareness by other sectors and communities of their role in vector control, inadequate institutional frameworks and policies for joint planning and implementation by different sectors, communities and other stakeholders, and tool-focused interventions such as for LLINs, IRS, larval source management, which tend to run largely independent of each other. In order to consolidate the gains made in the control of malaria in the last few years, it is important that the country changes the current parallel management system and embrace an integrated and more cost-effective approach to the control of malaria and other vector borne diseases (MPR, 2011). This recommendation was also made by the stakeholders meeting on the vector control needs assessment that was held in Kigali in February 2011 (VCNA, 2011). These policy guidelines have therefore been developed to harmonize vector control efforts into an overarching integrated vector management (IVM) policy framework that will address the challenges that plague the current system of vector control. It is my sincere hope that the policy enabling instruments described in this guidance document will anchor strategic vector control interventions and provide a conducive environment that will support and fast track IVM implementation in the country to further reduce the burden due to malaria and other vector borne diseases.","author":[{"dropping-particle":"","family":"MINIRENA","given":"","non-dropping-particle":"","parse-names":false,"suffix":""}],"id":"ITEM-1","issued":{"date-parts":[["2016"]]},"title":"National biodiversity strategy and action plan","type":"report"},"uris":["http://www.mendeley.com/documents/?uuid=1959dc73-6b26-48eb-8d55-556bd849bc46"]},{"id":"ITEM-2","itemData":{"author":[{"dropping-particle":"","family":"BIOFIN","given":"","non-dropping-particle":"","parse-names":false,"suffix":""},{"dropping-particle":"","family":"REMA","given":"","non-dropping-particle":"","parse-names":false,"suffix":""},{"dropping-particle":"","family":"UNDP","given":"","non-dropping-particle":"","parse-names":false,"suffix":""}],"id":"ITEM-2","issue":"November","issued":{"date-parts":[["2017"]]},"title":"Rwanda biodiversity finance initiative biodiversity finance policy and institutional review","type":"report"},"uris":["http://www.mendeley.com/documents/?uuid=ae091cfa-7f7a-4d92-a595-d5041191d371"]}],"mendeley":{"formattedCitation":"(MINIRENA, 2016; BIOFIN, REMA and UNDP, 2017)","plainTextFormattedCitation":"(MINIRENA, 2016; BIOFIN, REMA and UNDP, 2017)","previouslyFormattedCitation":"(MINIRENA, 2016; BIOFIN, REMA and UNDP, 2017)"},"properties":{"noteIndex":0},"schema":"https://github.com/citation-style-language/schema/raw/master/csl-citation.json"}</w:instrText>
            </w:r>
            <w:r w:rsidRPr="003E499A">
              <w:rPr>
                <w:rFonts w:ascii="Times New Roman" w:hAnsi="Times New Roman" w:cs="Times New Roman"/>
                <w:sz w:val="18"/>
                <w:szCs w:val="18"/>
              </w:rPr>
              <w:fldChar w:fldCharType="separate"/>
            </w:r>
            <w:r w:rsidRPr="003E499A">
              <w:rPr>
                <w:rFonts w:ascii="Times New Roman" w:hAnsi="Times New Roman" w:cs="Times New Roman"/>
                <w:noProof/>
                <w:sz w:val="18"/>
                <w:szCs w:val="18"/>
                <w:lang w:val="en-GB"/>
              </w:rPr>
              <w:t>(MINIRENA, 2016; BIOFIN, REMA and UNDP, 2017)</w:t>
            </w:r>
            <w:r w:rsidRPr="003E499A">
              <w:rPr>
                <w:rFonts w:ascii="Times New Roman" w:hAnsi="Times New Roman" w:cs="Times New Roman"/>
                <w:sz w:val="18"/>
                <w:szCs w:val="18"/>
              </w:rPr>
              <w:fldChar w:fldCharType="end"/>
            </w:r>
          </w:p>
        </w:tc>
      </w:tr>
      <w:tr w:rsidR="00F17E02" w:rsidRPr="003E499A" w:rsidTr="008F575F">
        <w:tc>
          <w:tcPr>
            <w:tcW w:w="441" w:type="dxa"/>
          </w:tcPr>
          <w:p w:rsidR="00F17E02" w:rsidRPr="003E499A" w:rsidRDefault="00F17E02" w:rsidP="00D0319C">
            <w:pPr>
              <w:rPr>
                <w:rFonts w:ascii="Times New Roman" w:hAnsi="Times New Roman" w:cs="Times New Roman"/>
                <w:sz w:val="18"/>
                <w:szCs w:val="18"/>
                <w:lang w:val="en-GB"/>
              </w:rPr>
            </w:pPr>
            <w:r>
              <w:rPr>
                <w:rFonts w:ascii="Times New Roman" w:hAnsi="Times New Roman" w:cs="Times New Roman"/>
                <w:sz w:val="18"/>
                <w:szCs w:val="18"/>
                <w:lang w:val="en-GB"/>
              </w:rPr>
              <w:t>4.</w:t>
            </w:r>
          </w:p>
        </w:tc>
        <w:tc>
          <w:tcPr>
            <w:tcW w:w="2182"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National Forestry Policy, 2010</w:t>
            </w:r>
          </w:p>
        </w:tc>
        <w:tc>
          <w:tcPr>
            <w:tcW w:w="2781"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Provides for the conservation and wise use of forest biodiversity, as well as the establishment, rehabilitation and conservation of watershed protection forests.</w:t>
            </w:r>
          </w:p>
        </w:tc>
        <w:tc>
          <w:tcPr>
            <w:tcW w:w="1817" w:type="dxa"/>
          </w:tcPr>
          <w:p w:rsidR="00F17E02" w:rsidRPr="003E499A" w:rsidRDefault="00F17E02" w:rsidP="00D0319C">
            <w:pPr>
              <w:rPr>
                <w:rFonts w:ascii="Times New Roman" w:hAnsi="Times New Roman" w:cs="Times New Roman"/>
                <w:sz w:val="18"/>
                <w:szCs w:val="18"/>
                <w:lang w:val="en-GB"/>
              </w:rPr>
            </w:pPr>
          </w:p>
        </w:tc>
        <w:tc>
          <w:tcPr>
            <w:tcW w:w="1805"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rPr>
              <w:fldChar w:fldCharType="begin" w:fldLock="1"/>
            </w:r>
            <w:r w:rsidRPr="003E499A">
              <w:rPr>
                <w:rFonts w:ascii="Times New Roman" w:hAnsi="Times New Roman" w:cs="Times New Roman"/>
                <w:sz w:val="18"/>
                <w:szCs w:val="18"/>
                <w:lang w:val="en-GB"/>
              </w:rPr>
              <w:instrText>ADDIN CSL_CITATION {"citationItems":[{"id":"ITEM-1","itemData":{"ISBN":"2525576853","ISSN":"2150-8925","abstract":"Ministry of Health National Policy Guidelines for Integrated Vector Management (IVM) 2012 3 Foreword Although there are a number of health policy guidelines, strategies and related work plans to control malaria and various other vector borne diseases, the Ministry of Health faces a number of challenges in implementing integrated and cost-effective approaches to control these vector borne diseases. The challenges include: inadequate capacity for evidence based decision making, lack of awareness by other sectors and communities of their role in vector control, inadequate institutional frameworks and policies for joint planning and implementation by different sectors, communities and other stakeholders, and tool-focused interventions such as for LLINs, IRS, larval source management, which tend to run largely independent of each other. In order to consolidate the gains made in the control of malaria in the last few years, it is important that the country changes the current parallel management system and embrace an integrated and more cost-effective approach to the control of malaria and other vector borne diseases (MPR, 2011). This recommendation was also made by the stakeholders meeting on the vector control needs assessment that was held in Kigali in February 2011 (VCNA, 2011). These policy guidelines have therefore been developed to harmonize vector control efforts into an overarching integrated vector management (IVM) policy framework that will address the challenges that plague the current system of vector control. It is my sincere hope that the policy enabling instruments described in this guidance document will anchor strategic vector control interventions and provide a conducive environment that will support and fast track IVM implementation in the country to further reduce the burden due to malaria and other vector borne diseases.","author":[{"dropping-particle":"","family":"MINIRENA","given":"","non-dropping-particle":"","parse-names":false,"suffix":""}],"id":"ITEM-1","issued":{"date-parts":[["2016"]]},"title":"National biodiversity strategy and action plan","type":"report"},"uris":["http://www.mendeley.com/documents/?uuid=1959dc73-6b26-48eb-8d55-556bd849bc46"]}],"mendeley":{"formattedCitation":"(MINIRENA, 2016)","plainTextFormattedCitation":"(MINIRENA, 2016)","previouslyFormattedCitation":"(MINIRENA, 2016)"},"properties":{"noteIndex":0},"schema":"https://github.com/citation-style-language/schema/raw/master/csl-citation.json"}</w:instrText>
            </w:r>
            <w:r w:rsidRPr="003E499A">
              <w:rPr>
                <w:rFonts w:ascii="Times New Roman" w:hAnsi="Times New Roman" w:cs="Times New Roman"/>
                <w:sz w:val="18"/>
                <w:szCs w:val="18"/>
              </w:rPr>
              <w:fldChar w:fldCharType="separate"/>
            </w:r>
            <w:r w:rsidRPr="003E499A">
              <w:rPr>
                <w:rFonts w:ascii="Times New Roman" w:hAnsi="Times New Roman" w:cs="Times New Roman"/>
                <w:noProof/>
                <w:sz w:val="18"/>
                <w:szCs w:val="18"/>
                <w:lang w:val="en-GB"/>
              </w:rPr>
              <w:t>(MINIRENA, 2016)</w:t>
            </w:r>
            <w:r w:rsidRPr="003E499A">
              <w:rPr>
                <w:rFonts w:ascii="Times New Roman" w:hAnsi="Times New Roman" w:cs="Times New Roman"/>
                <w:sz w:val="18"/>
                <w:szCs w:val="18"/>
              </w:rPr>
              <w:fldChar w:fldCharType="end"/>
            </w:r>
          </w:p>
        </w:tc>
      </w:tr>
      <w:tr w:rsidR="00F17E02" w:rsidRPr="003E499A" w:rsidTr="008F575F">
        <w:tc>
          <w:tcPr>
            <w:tcW w:w="441" w:type="dxa"/>
          </w:tcPr>
          <w:p w:rsidR="00F17E02" w:rsidRPr="003E499A" w:rsidRDefault="00F17E02" w:rsidP="00D0319C">
            <w:pPr>
              <w:rPr>
                <w:rFonts w:ascii="Times New Roman" w:hAnsi="Times New Roman" w:cs="Times New Roman"/>
                <w:sz w:val="18"/>
                <w:szCs w:val="18"/>
                <w:lang w:val="en-GB"/>
              </w:rPr>
            </w:pPr>
            <w:r>
              <w:rPr>
                <w:rFonts w:ascii="Times New Roman" w:hAnsi="Times New Roman" w:cs="Times New Roman"/>
                <w:sz w:val="18"/>
                <w:szCs w:val="18"/>
                <w:lang w:val="en-GB"/>
              </w:rPr>
              <w:t>5.</w:t>
            </w:r>
          </w:p>
        </w:tc>
        <w:tc>
          <w:tcPr>
            <w:tcW w:w="2182"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National Biodiversity Policy, 2011</w:t>
            </w:r>
          </w:p>
        </w:tc>
        <w:tc>
          <w:tcPr>
            <w:tcW w:w="2781"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 xml:space="preserve">With respect to biodiversity, this is one of the two most direct policy statements in Rwanda. It was enacted to be </w:t>
            </w:r>
            <w:r w:rsidRPr="003E499A">
              <w:rPr>
                <w:rFonts w:ascii="Times New Roman" w:hAnsi="Times New Roman" w:cs="Times New Roman"/>
                <w:sz w:val="18"/>
                <w:szCs w:val="18"/>
              </w:rPr>
              <w:t>a key pillar in a broader framework for addressing sustainable development. It includes 11 specific objectives including maintaining and strengthening existing arrangements to conserve Rwanda’s biodiversity in and out of Rwanda’s PAs.</w:t>
            </w:r>
          </w:p>
        </w:tc>
        <w:tc>
          <w:tcPr>
            <w:tcW w:w="1817" w:type="dxa"/>
          </w:tcPr>
          <w:p w:rsidR="00F17E02" w:rsidRPr="003E499A" w:rsidRDefault="00F17E02" w:rsidP="00D0319C">
            <w:pPr>
              <w:rPr>
                <w:rFonts w:ascii="Times New Roman" w:hAnsi="Times New Roman" w:cs="Times New Roman"/>
                <w:sz w:val="18"/>
                <w:szCs w:val="18"/>
                <w:lang w:val="en-GB"/>
              </w:rPr>
            </w:pPr>
          </w:p>
        </w:tc>
        <w:tc>
          <w:tcPr>
            <w:tcW w:w="1805"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rPr>
              <w:fldChar w:fldCharType="begin" w:fldLock="1"/>
            </w:r>
            <w:r w:rsidRPr="003E499A">
              <w:rPr>
                <w:rFonts w:ascii="Times New Roman" w:hAnsi="Times New Roman" w:cs="Times New Roman"/>
                <w:sz w:val="18"/>
                <w:szCs w:val="18"/>
                <w:lang w:val="en-GB"/>
              </w:rPr>
              <w:instrText>ADDIN CSL_CITATION {"citationItems":[{"id":"ITEM-1","itemData":{"ISBN":"2525576853","ISSN":"2150-8925","abstract":"Ministry of Health National Policy Guidelines for Integrated Vector Management (IVM) 2012 3 Foreword Although there are a number of health policy guidelines, strategies and related work plans to control malaria and various other vector borne diseases, the Ministry of Health faces a number of challenges in implementing integrated and cost-effective approaches to control these vector borne diseases. The challenges include: inadequate capacity for evidence based decision making, lack of awareness by other sectors and communities of their role in vector control, inadequate institutional frameworks and policies for joint planning and implementation by different sectors, communities and other stakeholders, and tool-focused interventions such as for LLINs, IRS, larval source management, which tend to run largely independent of each other. In order to consolidate the gains made in the control of malaria in the last few years, it is important that the country changes the current parallel management system and embrace an integrated and more cost-effective approach to the control of malaria and other vector borne diseases (MPR, 2011). This recommendation was also made by the stakeholders meeting on the vector control needs assessment that was held in Kigali in February 2011 (VCNA, 2011). These policy guidelines have therefore been developed to harmonize vector control efforts into an overarching integrated vector management (IVM) policy framework that will address the challenges that plague the current system of vector control. It is my sincere hope that the policy enabling instruments described in this guidance document will anchor strategic vector control interventions and provide a conducive environment that will support and fast track IVM implementation in the country to further reduce the burden due to malaria and other vector borne diseases.","author":[{"dropping-particle":"","family":"MINIRENA","given":"","non-dropping-particle":"","parse-names":false,"suffix":""}],"id":"ITEM-1","issued":{"date-parts":[["2016"]]},"title":"National biodiversity strategy and action plan","type":"report"},"uris":["http://www.mendeley.com/documents/?uuid=1959dc73-6b26-48eb-8d55-556bd849bc46"]}],"mendeley":{"formattedCitation":"(MINIRENA, 2016)","plainTextFormattedCitation":"(MINIRENA, 2016)","previouslyFormattedCitation":"(MINIRENA, 2016)"},"properties":{"noteIndex":0},"schema":"https://github.com/citation-style-language/schema/raw/master/csl-citation.json"}</w:instrText>
            </w:r>
            <w:r w:rsidRPr="003E499A">
              <w:rPr>
                <w:rFonts w:ascii="Times New Roman" w:hAnsi="Times New Roman" w:cs="Times New Roman"/>
                <w:sz w:val="18"/>
                <w:szCs w:val="18"/>
              </w:rPr>
              <w:fldChar w:fldCharType="separate"/>
            </w:r>
            <w:r w:rsidRPr="003E499A">
              <w:rPr>
                <w:rFonts w:ascii="Times New Roman" w:hAnsi="Times New Roman" w:cs="Times New Roman"/>
                <w:noProof/>
                <w:sz w:val="18"/>
                <w:szCs w:val="18"/>
                <w:lang w:val="en-GB"/>
              </w:rPr>
              <w:t>(MINIRENA, 2016)</w:t>
            </w:r>
            <w:r w:rsidRPr="003E499A">
              <w:rPr>
                <w:rFonts w:ascii="Times New Roman" w:hAnsi="Times New Roman" w:cs="Times New Roman"/>
                <w:sz w:val="18"/>
                <w:szCs w:val="18"/>
              </w:rPr>
              <w:fldChar w:fldCharType="end"/>
            </w:r>
          </w:p>
        </w:tc>
      </w:tr>
      <w:tr w:rsidR="00F17E02" w:rsidRPr="003E499A" w:rsidTr="008F575F">
        <w:tc>
          <w:tcPr>
            <w:tcW w:w="441" w:type="dxa"/>
          </w:tcPr>
          <w:p w:rsidR="00F17E02" w:rsidRPr="003E499A" w:rsidRDefault="00F17E02" w:rsidP="00D0319C">
            <w:pPr>
              <w:rPr>
                <w:rFonts w:ascii="Times New Roman" w:hAnsi="Times New Roman" w:cs="Times New Roman"/>
                <w:sz w:val="18"/>
                <w:szCs w:val="18"/>
                <w:lang w:val="en-GB"/>
              </w:rPr>
            </w:pPr>
            <w:r>
              <w:rPr>
                <w:rFonts w:ascii="Times New Roman" w:hAnsi="Times New Roman" w:cs="Times New Roman"/>
                <w:sz w:val="18"/>
                <w:szCs w:val="18"/>
                <w:lang w:val="en-GB"/>
              </w:rPr>
              <w:lastRenderedPageBreak/>
              <w:t>6.</w:t>
            </w:r>
          </w:p>
        </w:tc>
        <w:tc>
          <w:tcPr>
            <w:tcW w:w="2182" w:type="dxa"/>
          </w:tcPr>
          <w:p w:rsidR="00F17E02" w:rsidRPr="000F7965" w:rsidRDefault="00F17E02" w:rsidP="00D0319C">
            <w:pPr>
              <w:rPr>
                <w:rFonts w:ascii="Times New Roman" w:hAnsi="Times New Roman" w:cs="Times New Roman"/>
                <w:sz w:val="18"/>
                <w:szCs w:val="18"/>
                <w:highlight w:val="yellow"/>
                <w:lang w:val="en-GB"/>
              </w:rPr>
            </w:pPr>
            <w:r w:rsidRPr="00902252">
              <w:rPr>
                <w:rFonts w:ascii="Times New Roman" w:hAnsi="Times New Roman" w:cs="Times New Roman"/>
                <w:sz w:val="18"/>
                <w:szCs w:val="18"/>
                <w:lang w:val="en-GB"/>
              </w:rPr>
              <w:t>Rwanda Green Growth Strategy, 2011</w:t>
            </w:r>
          </w:p>
        </w:tc>
        <w:tc>
          <w:tcPr>
            <w:tcW w:w="2781" w:type="dxa"/>
          </w:tcPr>
          <w:p w:rsidR="00F17E02" w:rsidRPr="000F7965" w:rsidRDefault="00BC3879" w:rsidP="00D0319C">
            <w:pPr>
              <w:rPr>
                <w:rFonts w:ascii="Times New Roman" w:hAnsi="Times New Roman" w:cs="Times New Roman"/>
                <w:sz w:val="18"/>
                <w:szCs w:val="18"/>
                <w:highlight w:val="yellow"/>
                <w:lang w:val="en-GB"/>
              </w:rPr>
            </w:pPr>
            <w:r w:rsidRPr="00902252">
              <w:rPr>
                <w:rFonts w:ascii="Times New Roman" w:hAnsi="Times New Roman" w:cs="Times New Roman"/>
                <w:sz w:val="18"/>
                <w:szCs w:val="18"/>
              </w:rPr>
              <w:t>The primary goal is to steer the integration of climate adaptability and reduced carbon emissions into crucial economic sectors.</w:t>
            </w:r>
          </w:p>
        </w:tc>
        <w:tc>
          <w:tcPr>
            <w:tcW w:w="1817" w:type="dxa"/>
          </w:tcPr>
          <w:p w:rsidR="00F17E02" w:rsidRPr="003E499A" w:rsidRDefault="00F17E02" w:rsidP="00D0319C">
            <w:pPr>
              <w:rPr>
                <w:rFonts w:ascii="Times New Roman" w:hAnsi="Times New Roman" w:cs="Times New Roman"/>
                <w:sz w:val="18"/>
                <w:szCs w:val="18"/>
                <w:lang w:val="en-GB"/>
              </w:rPr>
            </w:pPr>
          </w:p>
        </w:tc>
        <w:tc>
          <w:tcPr>
            <w:tcW w:w="1805"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rPr>
              <w:fldChar w:fldCharType="begin" w:fldLock="1"/>
            </w:r>
            <w:r w:rsidRPr="003E499A">
              <w:rPr>
                <w:rFonts w:ascii="Times New Roman" w:hAnsi="Times New Roman" w:cs="Times New Roman"/>
                <w:sz w:val="18"/>
                <w:szCs w:val="18"/>
                <w:lang w:val="en-GB"/>
              </w:rPr>
              <w:instrText>ADDIN CSL_CITATION {"citationItems":[{"id":"ITEM-1","itemData":{"ISBN":"2525576853","ISSN":"2150-8925","abstract":"Ministry of Health National Policy Guidelines for Integrated Vector Management (IVM) 2012 3 Foreword Although there are a number of health policy guidelines, strategies and related work plans to control malaria and various other vector borne diseases, the Ministry of Health faces a number of challenges in implementing integrated and cost-effective approaches to control these vector borne diseases. The challenges include: inadequate capacity for evidence based decision making, lack of awareness by other sectors and communities of their role in vector control, inadequate institutional frameworks and policies for joint planning and implementation by different sectors, communities and other stakeholders, and tool-focused interventions such as for LLINs, IRS, larval source management, which tend to run largely independent of each other. In order to consolidate the gains made in the control of malaria in the last few years, it is important that the country changes the current parallel management system and embrace an integrated and more cost-effective approach to the control of malaria and other vector borne diseases (MPR, 2011). This recommendation was also made by the stakeholders meeting on the vector control needs assessment that was held in Kigali in February 2011 (VCNA, 2011). These policy guidelines have therefore been developed to harmonize vector control efforts into an overarching integrated vector management (IVM) policy framework that will address the challenges that plague the current system of vector control. It is my sincere hope that the policy enabling instruments described in this guidance document will anchor strategic vector control interventions and provide a conducive environment that will support and fast track IVM implementation in the country to further reduce the burden due to malaria and other vector borne diseases.","author":[{"dropping-particle":"","family":"MINIRENA","given":"","non-dropping-particle":"","parse-names":false,"suffix":""}],"id":"ITEM-1","issued":{"date-parts":[["2016"]]},"title":"National biodiversity strategy and action plan","type":"report"},"uris":["http://www.mendeley.com/documents/?uuid=1959dc73-6b26-48eb-8d55-556bd849bc46"]},{"id":"ITEM-2","itemData":{"author":[{"dropping-particle":"","family":"BIOFIN","given":"","non-dropping-particle":"","parse-names":false,"suffix":""},{"dropping-particle":"","family":"REMA","given":"","non-dropping-particle":"","parse-names":false,"suffix":""},{"dropping-particle":"","family":"UNDP","given":"","non-dropping-particle":"","parse-names":false,"suffix":""}],"id":"ITEM-2","issue":"November","issued":{"date-parts":[["2017"]]},"title":"Rwanda biodiversity finance initiative biodiversity finance policy and institutional review","type":"report"},"uris":["http://www.mendeley.com/documents/?uuid=ae091cfa-7f7a-4d92-a595-d5041191d371"]}],"mendeley":{"formattedCitation":"(MINIRENA, 2016; BIOFIN, REMA and UNDP, 2017)","plainTextFormattedCitation":"(MINIRENA, 2016; BIOFIN, REMA and UNDP, 2017)","previouslyFormattedCitation":"(MINIRENA, 2016; BIOFIN, REMA and UNDP, 2017)"},"properties":{"noteIndex":0},"schema":"https://github.com/citation-style-language/schema/raw/master/csl-citation.json"}</w:instrText>
            </w:r>
            <w:r w:rsidRPr="003E499A">
              <w:rPr>
                <w:rFonts w:ascii="Times New Roman" w:hAnsi="Times New Roman" w:cs="Times New Roman"/>
                <w:sz w:val="18"/>
                <w:szCs w:val="18"/>
              </w:rPr>
              <w:fldChar w:fldCharType="separate"/>
            </w:r>
            <w:r w:rsidRPr="003E499A">
              <w:rPr>
                <w:rFonts w:ascii="Times New Roman" w:hAnsi="Times New Roman" w:cs="Times New Roman"/>
                <w:noProof/>
                <w:sz w:val="18"/>
                <w:szCs w:val="18"/>
                <w:lang w:val="en-GB"/>
              </w:rPr>
              <w:t>(MINIRENA, 2016; BIOFIN, REMA and UNDP, 2017)</w:t>
            </w:r>
            <w:r w:rsidRPr="003E499A">
              <w:rPr>
                <w:rFonts w:ascii="Times New Roman" w:hAnsi="Times New Roman" w:cs="Times New Roman"/>
                <w:sz w:val="18"/>
                <w:szCs w:val="18"/>
              </w:rPr>
              <w:fldChar w:fldCharType="end"/>
            </w:r>
          </w:p>
        </w:tc>
      </w:tr>
      <w:tr w:rsidR="00F17E02" w:rsidRPr="003E499A" w:rsidTr="008F575F">
        <w:tc>
          <w:tcPr>
            <w:tcW w:w="441" w:type="dxa"/>
          </w:tcPr>
          <w:p w:rsidR="00F17E02" w:rsidRPr="003E499A" w:rsidRDefault="00F17E02" w:rsidP="00D0319C">
            <w:pPr>
              <w:rPr>
                <w:rFonts w:ascii="Times New Roman" w:hAnsi="Times New Roman" w:cs="Times New Roman"/>
                <w:sz w:val="18"/>
                <w:szCs w:val="18"/>
                <w:lang w:val="en-GB"/>
              </w:rPr>
            </w:pPr>
            <w:r>
              <w:rPr>
                <w:rFonts w:ascii="Times New Roman" w:hAnsi="Times New Roman" w:cs="Times New Roman"/>
                <w:sz w:val="18"/>
                <w:szCs w:val="18"/>
                <w:lang w:val="en-GB"/>
              </w:rPr>
              <w:t>7.</w:t>
            </w:r>
          </w:p>
        </w:tc>
        <w:tc>
          <w:tcPr>
            <w:tcW w:w="2182"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National Policy for Water Resources Management, 2011</w:t>
            </w:r>
          </w:p>
        </w:tc>
        <w:tc>
          <w:tcPr>
            <w:tcW w:w="2781"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It has mainstreamed elements of environment protection and climate change into water resources programmes and has integrated regional collaboration in the management of shared water resources.</w:t>
            </w:r>
          </w:p>
        </w:tc>
        <w:tc>
          <w:tcPr>
            <w:tcW w:w="1817" w:type="dxa"/>
          </w:tcPr>
          <w:p w:rsidR="00F17E02" w:rsidRPr="003E499A" w:rsidRDefault="00F17E02" w:rsidP="00D0319C">
            <w:pPr>
              <w:rPr>
                <w:rFonts w:ascii="Times New Roman" w:hAnsi="Times New Roman" w:cs="Times New Roman"/>
                <w:sz w:val="18"/>
                <w:szCs w:val="18"/>
                <w:lang w:val="en-GB"/>
              </w:rPr>
            </w:pPr>
          </w:p>
        </w:tc>
        <w:tc>
          <w:tcPr>
            <w:tcW w:w="1805"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rPr>
              <w:fldChar w:fldCharType="begin" w:fldLock="1"/>
            </w:r>
            <w:r w:rsidRPr="003E499A">
              <w:rPr>
                <w:rFonts w:ascii="Times New Roman" w:hAnsi="Times New Roman" w:cs="Times New Roman"/>
                <w:sz w:val="18"/>
                <w:szCs w:val="18"/>
                <w:lang w:val="en-GB"/>
              </w:rPr>
              <w:instrText>ADDIN CSL_CITATION {"citationItems":[{"id":"ITEM-1","itemData":{"ISBN":"2525576853","ISSN":"2150-8925","abstract":"Ministry of Health National Policy Guidelines for Integrated Vector Management (IVM) 2012 3 Foreword Although there are a number of health policy guidelines, strategies and related work plans to control malaria and various other vector borne diseases, the Ministry of Health faces a number of challenges in implementing integrated and cost-effective approaches to control these vector borne diseases. The challenges include: inadequate capacity for evidence based decision making, lack of awareness by other sectors and communities of their role in vector control, inadequate institutional frameworks and policies for joint planning and implementation by different sectors, communities and other stakeholders, and tool-focused interventions such as for LLINs, IRS, larval source management, which tend to run largely independent of each other. In order to consolidate the gains made in the control of malaria in the last few years, it is important that the country changes the current parallel management system and embrace an integrated and more cost-effective approach to the control of malaria and other vector borne diseases (MPR, 2011). This recommendation was also made by the stakeholders meeting on the vector control needs assessment that was held in Kigali in February 2011 (VCNA, 2011). These policy guidelines have therefore been developed to harmonize vector control efforts into an overarching integrated vector management (IVM) policy framework that will address the challenges that plague the current system of vector control. It is my sincere hope that the policy enabling instruments described in this guidance document will anchor strategic vector control interventions and provide a conducive environment that will support and fast track IVM implementation in the country to further reduce the burden due to malaria and other vector borne diseases.","author":[{"dropping-particle":"","family":"MINIRENA","given":"","non-dropping-particle":"","parse-names":false,"suffix":""}],"id":"ITEM-1","issued":{"date-parts":[["2016"]]},"title":"National biodiversity strategy and action plan","type":"report"},"uris":["http://www.mendeley.com/documents/?uuid=1959dc73-6b26-48eb-8d55-556bd849bc46"]},{"id":"ITEM-2","itemData":{"author":[{"dropping-particle":"","family":"BIOFIN","given":"","non-dropping-particle":"","parse-names":false,"suffix":""},{"dropping-particle":"","family":"REMA","given":"","non-dropping-particle":"","parse-names":false,"suffix":""},{"dropping-particle":"","family":"UNDP","given":"","non-dropping-particle":"","parse-names":false,"suffix":""}],"id":"ITEM-2","issue":"November","issued":{"date-parts":[["2017"]]},"title":"Rwanda biodiversity finance initiative biodiversity finance policy and institutional review","type":"report"},"uris":["http://www.mendeley.com/documents/?uuid=ae091cfa-7f7a-4d92-a595-d5041191d371"]}],"mendeley":{"formattedCitation":"(MINIRENA, 2016; BIOFIN, REMA and UNDP, 2017)","plainTextFormattedCitation":"(MINIRENA, 2016; BIOFIN, REMA and UNDP, 2017)","previouslyFormattedCitation":"(MINIRENA, 2016; BIOFIN, REMA and UNDP, 2017)"},"properties":{"noteIndex":0},"schema":"https://github.com/citation-style-language/schema/raw/master/csl-citation.json"}</w:instrText>
            </w:r>
            <w:r w:rsidRPr="003E499A">
              <w:rPr>
                <w:rFonts w:ascii="Times New Roman" w:hAnsi="Times New Roman" w:cs="Times New Roman"/>
                <w:sz w:val="18"/>
                <w:szCs w:val="18"/>
              </w:rPr>
              <w:fldChar w:fldCharType="separate"/>
            </w:r>
            <w:r w:rsidRPr="003E499A">
              <w:rPr>
                <w:rFonts w:ascii="Times New Roman" w:hAnsi="Times New Roman" w:cs="Times New Roman"/>
                <w:noProof/>
                <w:sz w:val="18"/>
                <w:szCs w:val="18"/>
                <w:lang w:val="en-GB"/>
              </w:rPr>
              <w:t>(MINIRENA, 2016; BIOFIN, REMA and UNDP, 2017)</w:t>
            </w:r>
            <w:r w:rsidRPr="003E499A">
              <w:rPr>
                <w:rFonts w:ascii="Times New Roman" w:hAnsi="Times New Roman" w:cs="Times New Roman"/>
                <w:sz w:val="18"/>
                <w:szCs w:val="18"/>
              </w:rPr>
              <w:fldChar w:fldCharType="end"/>
            </w:r>
          </w:p>
        </w:tc>
      </w:tr>
      <w:tr w:rsidR="00F17E02" w:rsidRPr="003E499A" w:rsidTr="008F575F">
        <w:tc>
          <w:tcPr>
            <w:tcW w:w="441" w:type="dxa"/>
          </w:tcPr>
          <w:p w:rsidR="00F17E02" w:rsidRPr="003E499A" w:rsidRDefault="00F17E02" w:rsidP="00D0319C">
            <w:pPr>
              <w:rPr>
                <w:rFonts w:ascii="Times New Roman" w:hAnsi="Times New Roman" w:cs="Times New Roman"/>
                <w:sz w:val="18"/>
                <w:szCs w:val="18"/>
                <w:lang w:val="en-GB"/>
              </w:rPr>
            </w:pPr>
            <w:r>
              <w:rPr>
                <w:rFonts w:ascii="Times New Roman" w:hAnsi="Times New Roman" w:cs="Times New Roman"/>
                <w:sz w:val="18"/>
                <w:szCs w:val="18"/>
                <w:lang w:val="en-GB"/>
              </w:rPr>
              <w:t>8.</w:t>
            </w:r>
          </w:p>
        </w:tc>
        <w:tc>
          <w:tcPr>
            <w:tcW w:w="2182"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Wildlife Policy 2013</w:t>
            </w:r>
          </w:p>
        </w:tc>
        <w:tc>
          <w:tcPr>
            <w:tcW w:w="2781"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Encourages various stakeholders’ participation in the management of wildlife and promotes equitable distribution of conservation benefits.</w:t>
            </w:r>
          </w:p>
        </w:tc>
        <w:tc>
          <w:tcPr>
            <w:tcW w:w="1817"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Needs a corresponding law to give full effect to the policy</w:t>
            </w:r>
          </w:p>
        </w:tc>
        <w:tc>
          <w:tcPr>
            <w:tcW w:w="1805"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rPr>
              <w:fldChar w:fldCharType="begin" w:fldLock="1"/>
            </w:r>
            <w:r w:rsidRPr="003E499A">
              <w:rPr>
                <w:rFonts w:ascii="Times New Roman" w:hAnsi="Times New Roman" w:cs="Times New Roman"/>
                <w:sz w:val="18"/>
                <w:szCs w:val="18"/>
                <w:lang w:val="en-GB"/>
              </w:rPr>
              <w:instrText>ADDIN CSL_CITATION {"citationItems":[{"id":"ITEM-1","itemData":{"ISBN":"2525576853","ISSN":"2150-8925","abstract":"Ministry of Health National Policy Guidelines for Integrated Vector Management (IVM) 2012 3 Foreword Although there are a number of health policy guidelines, strategies and related work plans to control malaria and various other vector borne diseases, the Ministry of Health faces a number of challenges in implementing integrated and cost-effective approaches to control these vector borne diseases. The challenges include: inadequate capacity for evidence based decision making, lack of awareness by other sectors and communities of their role in vector control, inadequate institutional frameworks and policies for joint planning and implementation by different sectors, communities and other stakeholders, and tool-focused interventions such as for LLINs, IRS, larval source management, which tend to run largely independent of each other. In order to consolidate the gains made in the control of malaria in the last few years, it is important that the country changes the current parallel management system and embrace an integrated and more cost-effective approach to the control of malaria and other vector borne diseases (MPR, 2011). This recommendation was also made by the stakeholders meeting on the vector control needs assessment that was held in Kigali in February 2011 (VCNA, 2011). These policy guidelines have therefore been developed to harmonize vector control efforts into an overarching integrated vector management (IVM) policy framework that will address the challenges that plague the current system of vector control. It is my sincere hope that the policy enabling instruments described in this guidance document will anchor strategic vector control interventions and provide a conducive environment that will support and fast track IVM implementation in the country to further reduce the burden due to malaria and other vector borne diseases.","author":[{"dropping-particle":"","family":"MINIRENA","given":"","non-dropping-particle":"","parse-names":false,"suffix":""}],"id":"ITEM-1","issued":{"date-parts":[["2016"]]},"title":"National biodiversity strategy and action plan","type":"report"},"uris":["http://www.mendeley.com/documents/?uuid=1959dc73-6b26-48eb-8d55-556bd849bc46"]},{"id":"ITEM-2","itemData":{"author":[{"dropping-particle":"","family":"BIOFIN","given":"","non-dropping-particle":"","parse-names":false,"suffix":""},{"dropping-particle":"","family":"REMA","given":"","non-dropping-particle":"","parse-names":false,"suffix":""},{"dropping-particle":"","family":"UNDP","given":"","non-dropping-particle":"","parse-names":false,"suffix":""}],"id":"ITEM-2","issue":"November","issued":{"date-parts":[["2017"]]},"title":"Rwanda biodiversity finance initiative biodiversity finance policy and institutional review","type":"report"},"uris":["http://www.mendeley.com/documents/?uuid=ae091cfa-7f7a-4d92-a595-d5041191d371"]}],"mendeley":{"formattedCitation":"(MINIRENA, 2016; BIOFIN, REMA and UNDP, 2017)","plainTextFormattedCitation":"(MINIRENA, 2016; BIOFIN, REMA and UNDP, 2017)","previouslyFormattedCitation":"(MINIRENA, 2016; BIOFIN, REMA and UNDP, 2017)"},"properties":{"noteIndex":0},"schema":"https://github.com/citation-style-language/schema/raw/master/csl-citation.json"}</w:instrText>
            </w:r>
            <w:r w:rsidRPr="003E499A">
              <w:rPr>
                <w:rFonts w:ascii="Times New Roman" w:hAnsi="Times New Roman" w:cs="Times New Roman"/>
                <w:sz w:val="18"/>
                <w:szCs w:val="18"/>
              </w:rPr>
              <w:fldChar w:fldCharType="separate"/>
            </w:r>
            <w:r w:rsidRPr="003E499A">
              <w:rPr>
                <w:rFonts w:ascii="Times New Roman" w:hAnsi="Times New Roman" w:cs="Times New Roman"/>
                <w:noProof/>
                <w:sz w:val="18"/>
                <w:szCs w:val="18"/>
                <w:lang w:val="en-GB"/>
              </w:rPr>
              <w:t>(MINIRENA, 2016; BIOFIN, REMA and UNDP, 2017)</w:t>
            </w:r>
            <w:r w:rsidRPr="003E499A">
              <w:rPr>
                <w:rFonts w:ascii="Times New Roman" w:hAnsi="Times New Roman" w:cs="Times New Roman"/>
                <w:sz w:val="18"/>
                <w:szCs w:val="18"/>
              </w:rPr>
              <w:fldChar w:fldCharType="end"/>
            </w:r>
          </w:p>
        </w:tc>
      </w:tr>
      <w:tr w:rsidR="00F17E02" w:rsidRPr="003E499A" w:rsidTr="008F575F">
        <w:tc>
          <w:tcPr>
            <w:tcW w:w="441" w:type="dxa"/>
          </w:tcPr>
          <w:p w:rsidR="00F17E02" w:rsidRPr="003E499A" w:rsidRDefault="00F17E02" w:rsidP="00D0319C">
            <w:pPr>
              <w:rPr>
                <w:rFonts w:ascii="Times New Roman" w:hAnsi="Times New Roman" w:cs="Times New Roman"/>
                <w:sz w:val="18"/>
                <w:szCs w:val="18"/>
                <w:lang w:val="en-GB"/>
              </w:rPr>
            </w:pPr>
            <w:r>
              <w:rPr>
                <w:rFonts w:ascii="Times New Roman" w:hAnsi="Times New Roman" w:cs="Times New Roman"/>
                <w:sz w:val="18"/>
                <w:szCs w:val="18"/>
                <w:lang w:val="en-GB"/>
              </w:rPr>
              <w:t>9.</w:t>
            </w:r>
          </w:p>
        </w:tc>
        <w:tc>
          <w:tcPr>
            <w:tcW w:w="2182"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National Biodiversity Strategy and Action Plan, 2016</w:t>
            </w:r>
          </w:p>
        </w:tc>
        <w:tc>
          <w:tcPr>
            <w:tcW w:w="2781"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 xml:space="preserve">It has been developed based on national needs and priorities for biodiversity conservation in response to threats facing biological resources at the national level. </w:t>
            </w:r>
            <w:r w:rsidRPr="003E499A">
              <w:rPr>
                <w:rFonts w:ascii="Times New Roman" w:hAnsi="Times New Roman" w:cs="Times New Roman"/>
                <w:sz w:val="18"/>
                <w:szCs w:val="18"/>
              </w:rPr>
              <w:t>It reflects Rwanda’s ambition to fulfill the objectives of the CBD. is a key document and summary of Rwanda’s national biodiversity vision and strategies.</w:t>
            </w:r>
          </w:p>
        </w:tc>
        <w:tc>
          <w:tcPr>
            <w:tcW w:w="1817"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Inadequate coordination of communication channels among stakeholders, in addition, it does not fully address the lack of engagement of community members into conservation efforts.</w:t>
            </w:r>
          </w:p>
        </w:tc>
        <w:tc>
          <w:tcPr>
            <w:tcW w:w="1805"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rPr>
              <w:fldChar w:fldCharType="begin" w:fldLock="1"/>
            </w:r>
            <w:r w:rsidRPr="003E499A">
              <w:rPr>
                <w:rFonts w:ascii="Times New Roman" w:hAnsi="Times New Roman" w:cs="Times New Roman"/>
                <w:sz w:val="18"/>
                <w:szCs w:val="18"/>
                <w:lang w:val="en-GB"/>
              </w:rPr>
              <w:instrText>ADDIN CSL_CITATION {"citationItems":[{"id":"ITEM-1","itemData":{"author":[{"dropping-particle":"","family":"USAID","given":"","non-dropping-particle":"","parse-names":false,"suffix":""}],"id":"ITEM-1","issued":{"date-parts":[["2019"]]},"title":"Rwanda tropical forests and biodiversity analysis","type":"book"},"uris":["http://www.mendeley.com/documents/?uuid=d2f4ce9b-039c-4ffa-9731-1b96f3643302"]}],"mendeley":{"formattedCitation":"(USAID, 2019)","plainTextFormattedCitation":"(USAID, 2019)","previouslyFormattedCitation":"(USAID, 2019)"},"properties":{"noteIndex":0},"schema":"https://github.com/citation-style-language/schema/raw/master/csl-citation.json"}</w:instrText>
            </w:r>
            <w:r w:rsidRPr="003E499A">
              <w:rPr>
                <w:rFonts w:ascii="Times New Roman" w:hAnsi="Times New Roman" w:cs="Times New Roman"/>
                <w:sz w:val="18"/>
                <w:szCs w:val="18"/>
              </w:rPr>
              <w:fldChar w:fldCharType="separate"/>
            </w:r>
            <w:r w:rsidRPr="003E499A">
              <w:rPr>
                <w:rFonts w:ascii="Times New Roman" w:hAnsi="Times New Roman" w:cs="Times New Roman"/>
                <w:noProof/>
                <w:sz w:val="18"/>
                <w:szCs w:val="18"/>
                <w:lang w:val="en-GB"/>
              </w:rPr>
              <w:t>(USAID, 2019)</w:t>
            </w:r>
            <w:r w:rsidRPr="003E499A">
              <w:rPr>
                <w:rFonts w:ascii="Times New Roman" w:hAnsi="Times New Roman" w:cs="Times New Roman"/>
                <w:sz w:val="18"/>
                <w:szCs w:val="18"/>
              </w:rPr>
              <w:fldChar w:fldCharType="end"/>
            </w:r>
          </w:p>
        </w:tc>
      </w:tr>
      <w:tr w:rsidR="00F17E02" w:rsidRPr="003E499A" w:rsidTr="008F575F">
        <w:tc>
          <w:tcPr>
            <w:tcW w:w="441" w:type="dxa"/>
          </w:tcPr>
          <w:p w:rsidR="00F17E02" w:rsidRPr="003E499A" w:rsidRDefault="00F17E02" w:rsidP="00D0319C">
            <w:pPr>
              <w:rPr>
                <w:rFonts w:ascii="Times New Roman" w:hAnsi="Times New Roman" w:cs="Times New Roman"/>
                <w:sz w:val="18"/>
                <w:szCs w:val="18"/>
                <w:lang w:val="en-GB"/>
              </w:rPr>
            </w:pPr>
            <w:r>
              <w:rPr>
                <w:rFonts w:ascii="Times New Roman" w:hAnsi="Times New Roman" w:cs="Times New Roman"/>
                <w:sz w:val="18"/>
                <w:szCs w:val="18"/>
                <w:lang w:val="en-GB"/>
              </w:rPr>
              <w:t>10.</w:t>
            </w:r>
          </w:p>
        </w:tc>
        <w:tc>
          <w:tcPr>
            <w:tcW w:w="2182"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Rwanda National Forestry Policy, 2018</w:t>
            </w:r>
          </w:p>
        </w:tc>
        <w:tc>
          <w:tcPr>
            <w:tcW w:w="2781" w:type="dxa"/>
          </w:tcPr>
          <w:p w:rsidR="00F17E02" w:rsidRPr="003E499A" w:rsidRDefault="00D12F4A" w:rsidP="00D0319C">
            <w:pPr>
              <w:rPr>
                <w:rFonts w:ascii="Times New Roman" w:hAnsi="Times New Roman" w:cs="Times New Roman"/>
                <w:sz w:val="18"/>
                <w:szCs w:val="18"/>
                <w:lang w:val="en-GB"/>
              </w:rPr>
            </w:pPr>
            <w:r>
              <w:rPr>
                <w:rFonts w:ascii="Times New Roman" w:hAnsi="Times New Roman" w:cs="Times New Roman"/>
                <w:sz w:val="18"/>
                <w:szCs w:val="18"/>
                <w:lang w:val="en-GB"/>
              </w:rPr>
              <w:t>Formulate</w:t>
            </w:r>
            <w:r w:rsidR="00F17E02" w:rsidRPr="003E499A">
              <w:rPr>
                <w:rFonts w:ascii="Times New Roman" w:hAnsi="Times New Roman" w:cs="Times New Roman"/>
                <w:sz w:val="18"/>
                <w:szCs w:val="18"/>
                <w:lang w:val="en-GB"/>
              </w:rPr>
              <w:t xml:space="preserve"> management s</w:t>
            </w:r>
            <w:r>
              <w:rPr>
                <w:rFonts w:ascii="Times New Roman" w:hAnsi="Times New Roman" w:cs="Times New Roman"/>
                <w:sz w:val="18"/>
                <w:szCs w:val="18"/>
                <w:lang w:val="en-GB"/>
              </w:rPr>
              <w:t>trategies</w:t>
            </w:r>
            <w:r w:rsidR="00F17E02" w:rsidRPr="003E499A">
              <w:rPr>
                <w:rFonts w:ascii="Times New Roman" w:hAnsi="Times New Roman" w:cs="Times New Roman"/>
                <w:sz w:val="18"/>
                <w:szCs w:val="18"/>
                <w:lang w:val="en-GB"/>
              </w:rPr>
              <w:t xml:space="preserve"> for all protected forests, identify and protect threatened species, re</w:t>
            </w:r>
            <w:r>
              <w:rPr>
                <w:rFonts w:ascii="Times New Roman" w:hAnsi="Times New Roman" w:cs="Times New Roman"/>
                <w:sz w:val="18"/>
                <w:szCs w:val="18"/>
                <w:lang w:val="en-GB"/>
              </w:rPr>
              <w:t>store deteriorated</w:t>
            </w:r>
            <w:r w:rsidR="00F17E02" w:rsidRPr="003E499A">
              <w:rPr>
                <w:rFonts w:ascii="Times New Roman" w:hAnsi="Times New Roman" w:cs="Times New Roman"/>
                <w:sz w:val="18"/>
                <w:szCs w:val="18"/>
                <w:lang w:val="en-GB"/>
              </w:rPr>
              <w:t xml:space="preserve"> </w:t>
            </w:r>
            <w:r>
              <w:rPr>
                <w:rFonts w:ascii="Times New Roman" w:hAnsi="Times New Roman" w:cs="Times New Roman"/>
                <w:sz w:val="18"/>
                <w:szCs w:val="18"/>
                <w:lang w:val="en-GB"/>
              </w:rPr>
              <w:t>to enhance ecological benefits, and implement Compensation for Ecosystem Services.</w:t>
            </w:r>
          </w:p>
        </w:tc>
        <w:tc>
          <w:tcPr>
            <w:tcW w:w="1817"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 xml:space="preserve">Low involvement of the private sector, and limited recourse to the contribution of </w:t>
            </w:r>
            <w:proofErr w:type="spellStart"/>
            <w:r w:rsidRPr="003E499A">
              <w:rPr>
                <w:rFonts w:ascii="Times New Roman" w:hAnsi="Times New Roman" w:cs="Times New Roman"/>
                <w:sz w:val="18"/>
                <w:szCs w:val="18"/>
                <w:lang w:val="en-GB"/>
              </w:rPr>
              <w:t>agro</w:t>
            </w:r>
            <w:proofErr w:type="spellEnd"/>
            <w:r w:rsidRPr="003E499A">
              <w:rPr>
                <w:rFonts w:ascii="Times New Roman" w:hAnsi="Times New Roman" w:cs="Times New Roman"/>
                <w:sz w:val="18"/>
                <w:szCs w:val="18"/>
                <w:lang w:val="en-GB"/>
              </w:rPr>
              <w:t>-forestry practices.</w:t>
            </w:r>
          </w:p>
        </w:tc>
        <w:tc>
          <w:tcPr>
            <w:tcW w:w="1805"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rPr>
              <w:fldChar w:fldCharType="begin" w:fldLock="1"/>
            </w:r>
            <w:r w:rsidRPr="003E499A">
              <w:rPr>
                <w:rFonts w:ascii="Times New Roman" w:hAnsi="Times New Roman" w:cs="Times New Roman"/>
                <w:sz w:val="18"/>
                <w:szCs w:val="18"/>
                <w:lang w:val="en-GB"/>
              </w:rPr>
              <w:instrText>ADDIN CSL_CITATION {"citationItems":[{"id":"ITEM-1","itemData":{"author":[{"dropping-particle":"","family":"MINILAF","given":"","non-dropping-particle":"","parse-names":false,"suffix":""}],"id":"ITEM-1","issued":{"date-parts":[["2018"]]},"title":"Rwanda national forestry policy 2018","type":"report"},"uris":["http://www.mendeley.com/documents/?uuid=f112b54f-fd9c-4ec2-b888-6e5656c624c1"]},{"id":"ITEM-2","itemData":{"author":[{"dropping-particle":"","family":"USAID","given":"","non-dropping-particle":"","parse-names":false,"suffix":""}],"id":"ITEM-2","issued":{"date-parts":[["2019"]]},"title":"Rwanda tropical forests and biodiversity analysis","type":"book"},"uris":["http://www.mendeley.com/documents/?uuid=d2f4ce9b-039c-4ffa-9731-1b96f3643302"]}],"mendeley":{"formattedCitation":"(MINILAF, 2018; USAID, 2019)","plainTextFormattedCitation":"(MINILAF, 2018; USAID, 2019)","previouslyFormattedCitation":"(MINILAF, 2018; USAID, 2019)"},"properties":{"noteIndex":0},"schema":"https://github.com/citation-style-language/schema/raw/master/csl-citation.json"}</w:instrText>
            </w:r>
            <w:r w:rsidRPr="003E499A">
              <w:rPr>
                <w:rFonts w:ascii="Times New Roman" w:hAnsi="Times New Roman" w:cs="Times New Roman"/>
                <w:sz w:val="18"/>
                <w:szCs w:val="18"/>
              </w:rPr>
              <w:fldChar w:fldCharType="separate"/>
            </w:r>
            <w:r w:rsidRPr="003E499A">
              <w:rPr>
                <w:rFonts w:ascii="Times New Roman" w:hAnsi="Times New Roman" w:cs="Times New Roman"/>
                <w:noProof/>
                <w:sz w:val="18"/>
                <w:szCs w:val="18"/>
                <w:lang w:val="en-GB"/>
              </w:rPr>
              <w:t>(MINILAF, 2018; USAID, 2019)</w:t>
            </w:r>
            <w:r w:rsidRPr="003E499A">
              <w:rPr>
                <w:rFonts w:ascii="Times New Roman" w:hAnsi="Times New Roman" w:cs="Times New Roman"/>
                <w:sz w:val="18"/>
                <w:szCs w:val="18"/>
              </w:rPr>
              <w:fldChar w:fldCharType="end"/>
            </w:r>
          </w:p>
        </w:tc>
      </w:tr>
      <w:tr w:rsidR="00F17E02" w:rsidRPr="003E499A" w:rsidTr="008F575F">
        <w:tc>
          <w:tcPr>
            <w:tcW w:w="441" w:type="dxa"/>
          </w:tcPr>
          <w:p w:rsidR="00F17E02" w:rsidRPr="003E499A" w:rsidRDefault="00F17E02" w:rsidP="00D0319C">
            <w:pPr>
              <w:rPr>
                <w:rFonts w:ascii="Times New Roman" w:hAnsi="Times New Roman" w:cs="Times New Roman"/>
                <w:sz w:val="18"/>
                <w:szCs w:val="18"/>
                <w:lang w:val="en-GB"/>
              </w:rPr>
            </w:pPr>
            <w:r>
              <w:rPr>
                <w:rFonts w:ascii="Times New Roman" w:hAnsi="Times New Roman" w:cs="Times New Roman"/>
                <w:sz w:val="18"/>
                <w:szCs w:val="18"/>
                <w:lang w:val="en-GB"/>
              </w:rPr>
              <w:t>11.</w:t>
            </w:r>
          </w:p>
        </w:tc>
        <w:tc>
          <w:tcPr>
            <w:tcW w:w="2182"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National Environment and Climate Change Policy, 2019</w:t>
            </w:r>
          </w:p>
        </w:tc>
        <w:tc>
          <w:tcPr>
            <w:tcW w:w="2781"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The policy makes provision for piloting, upscaling, and institutionalization of Payment for Ecosystem Services. The policy cater for regular inventory of degraded ecosystem and prepares restoration development plans.</w:t>
            </w:r>
          </w:p>
        </w:tc>
        <w:tc>
          <w:tcPr>
            <w:tcW w:w="1817" w:type="dxa"/>
          </w:tcPr>
          <w:p w:rsidR="00F17E02" w:rsidRPr="003E499A" w:rsidRDefault="00F17E02" w:rsidP="00D0319C">
            <w:pPr>
              <w:rPr>
                <w:rFonts w:ascii="Times New Roman" w:hAnsi="Times New Roman" w:cs="Times New Roman"/>
                <w:sz w:val="18"/>
                <w:szCs w:val="18"/>
                <w:lang w:val="en-GB"/>
              </w:rPr>
            </w:pPr>
          </w:p>
        </w:tc>
        <w:tc>
          <w:tcPr>
            <w:tcW w:w="1805"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rPr>
              <w:fldChar w:fldCharType="begin" w:fldLock="1"/>
            </w:r>
            <w:r w:rsidRPr="003E499A">
              <w:rPr>
                <w:rFonts w:ascii="Times New Roman" w:hAnsi="Times New Roman" w:cs="Times New Roman"/>
                <w:sz w:val="18"/>
                <w:szCs w:val="18"/>
                <w:lang w:val="en-GB"/>
              </w:rPr>
              <w:instrText>ADDIN CSL_CITATION {"citationItems":[{"id":"ITEM-1","itemData":{"author":[{"dropping-particle":"","family":"Republic of Rwanda","given":"","non-dropping-particle":"","parse-names":false,"suffix":""}],"id":"ITEM-1","issue":"September","issued":{"date-parts":[["2020"]]},"number-of-pages":"153","title":"Republic of Rwanda 6th national report to the Convention on Biological Diversity","type":"report"},"uris":["http://www.mendeley.com/documents/?uuid=3a493cdb-c1cf-4544-8e12-d3e4a40a7efc"]},{"id":"ITEM-2","itemData":{"author":[{"dropping-particle":"","family":"MOE","given":"","non-dropping-particle":"","parse-names":false,"suffix":""}],"id":"ITEM-2","issue":"June","issued":{"date-parts":[["2019"]]},"number-of-pages":"59","title":"Rwanda national environment and climate change policy","type":"report"},"uris":["http://www.mendeley.com/documents/?uuid=9ae96520-29a8-4bda-a881-0e8e46cdaf83"]}],"mendeley":{"formattedCitation":"(MOE, 2019b; Republic of Rwanda, 2020)","plainTextFormattedCitation":"(MOE, 2019b; Republic of Rwanda, 2020)","previouslyFormattedCitation":"(MOE, 2019b; Republic of Rwanda, 2020)"},"properties":{"noteIndex":0},"schema":"https://github.com/citation-style-language/schema/raw/master/csl-citation.json"}</w:instrText>
            </w:r>
            <w:r w:rsidRPr="003E499A">
              <w:rPr>
                <w:rFonts w:ascii="Times New Roman" w:hAnsi="Times New Roman" w:cs="Times New Roman"/>
                <w:sz w:val="18"/>
                <w:szCs w:val="18"/>
              </w:rPr>
              <w:fldChar w:fldCharType="separate"/>
            </w:r>
            <w:r w:rsidRPr="003E499A">
              <w:rPr>
                <w:rFonts w:ascii="Times New Roman" w:hAnsi="Times New Roman" w:cs="Times New Roman"/>
                <w:noProof/>
                <w:sz w:val="18"/>
                <w:szCs w:val="18"/>
                <w:lang w:val="en-GB"/>
              </w:rPr>
              <w:t>(MOE, 2019b; Republic of Rwanda, 2020)</w:t>
            </w:r>
            <w:r w:rsidRPr="003E499A">
              <w:rPr>
                <w:rFonts w:ascii="Times New Roman" w:hAnsi="Times New Roman" w:cs="Times New Roman"/>
                <w:sz w:val="18"/>
                <w:szCs w:val="18"/>
              </w:rPr>
              <w:fldChar w:fldCharType="end"/>
            </w:r>
          </w:p>
        </w:tc>
      </w:tr>
      <w:tr w:rsidR="00F17E02" w:rsidRPr="003E499A" w:rsidTr="008F575F">
        <w:tc>
          <w:tcPr>
            <w:tcW w:w="441" w:type="dxa"/>
          </w:tcPr>
          <w:p w:rsidR="00F17E02" w:rsidRPr="003E499A" w:rsidRDefault="00F17E02" w:rsidP="00D0319C">
            <w:pPr>
              <w:rPr>
                <w:rFonts w:ascii="Times New Roman" w:hAnsi="Times New Roman" w:cs="Times New Roman"/>
                <w:sz w:val="18"/>
                <w:szCs w:val="18"/>
                <w:lang w:val="en-GB"/>
              </w:rPr>
            </w:pPr>
            <w:r>
              <w:rPr>
                <w:rFonts w:ascii="Times New Roman" w:hAnsi="Times New Roman" w:cs="Times New Roman"/>
                <w:sz w:val="18"/>
                <w:szCs w:val="18"/>
                <w:lang w:val="en-GB"/>
              </w:rPr>
              <w:t>12.</w:t>
            </w:r>
          </w:p>
        </w:tc>
        <w:tc>
          <w:tcPr>
            <w:tcW w:w="2182"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National Cooling Strategy 2019</w:t>
            </w:r>
          </w:p>
        </w:tc>
        <w:tc>
          <w:tcPr>
            <w:tcW w:w="2781"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color w:val="0D0D0D" w:themeColor="text1" w:themeTint="F2"/>
                <w:sz w:val="18"/>
                <w:szCs w:val="18"/>
                <w:lang w:val="en-GB"/>
              </w:rPr>
              <w:t>While improving energy efficiency is not usually seen in the context of conservation, cooling sector</w:t>
            </w:r>
            <w:r w:rsidRPr="003E499A">
              <w:rPr>
                <w:sz w:val="18"/>
                <w:szCs w:val="18"/>
              </w:rPr>
              <w:t xml:space="preserve"> </w:t>
            </w:r>
            <w:r w:rsidRPr="003E499A">
              <w:rPr>
                <w:rFonts w:ascii="Times New Roman" w:hAnsi="Times New Roman" w:cs="Times New Roman"/>
                <w:color w:val="0D0D0D" w:themeColor="text1" w:themeTint="F2"/>
                <w:sz w:val="18"/>
                <w:szCs w:val="18"/>
                <w:lang w:val="en-GB"/>
              </w:rPr>
              <w:t>is already the biggest consumer of household energy globally</w:t>
            </w:r>
            <w:r w:rsidRPr="003E499A">
              <w:rPr>
                <w:sz w:val="18"/>
                <w:szCs w:val="18"/>
              </w:rPr>
              <w:t xml:space="preserve"> </w:t>
            </w:r>
            <w:r w:rsidRPr="003E499A">
              <w:rPr>
                <w:rFonts w:ascii="Times New Roman" w:hAnsi="Times New Roman" w:cs="Times New Roman"/>
                <w:color w:val="0D0D0D" w:themeColor="text1" w:themeTint="F2"/>
                <w:sz w:val="18"/>
                <w:szCs w:val="18"/>
                <w:lang w:val="en-GB"/>
              </w:rPr>
              <w:t>is expected to grow rapidly worldwide, including in Rwanda, potentially</w:t>
            </w:r>
            <w:r w:rsidRPr="003E499A">
              <w:rPr>
                <w:sz w:val="18"/>
                <w:szCs w:val="18"/>
              </w:rPr>
              <w:t xml:space="preserve"> </w:t>
            </w:r>
            <w:r w:rsidRPr="003E499A">
              <w:rPr>
                <w:rFonts w:ascii="Times New Roman" w:hAnsi="Times New Roman" w:cs="Times New Roman"/>
                <w:color w:val="0D0D0D" w:themeColor="text1" w:themeTint="F2"/>
                <w:sz w:val="18"/>
                <w:szCs w:val="18"/>
                <w:lang w:val="en-GB"/>
              </w:rPr>
              <w:t>triggering more pressure on natural resources.</w:t>
            </w:r>
          </w:p>
        </w:tc>
        <w:tc>
          <w:tcPr>
            <w:tcW w:w="1817" w:type="dxa"/>
          </w:tcPr>
          <w:p w:rsidR="00F17E02" w:rsidRPr="003E499A" w:rsidRDefault="00F17E02" w:rsidP="00D0319C">
            <w:pPr>
              <w:rPr>
                <w:rFonts w:ascii="Times New Roman" w:hAnsi="Times New Roman" w:cs="Times New Roman"/>
                <w:sz w:val="18"/>
                <w:szCs w:val="18"/>
                <w:lang w:val="en-GB"/>
              </w:rPr>
            </w:pPr>
          </w:p>
        </w:tc>
        <w:tc>
          <w:tcPr>
            <w:tcW w:w="1805"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rPr>
              <w:fldChar w:fldCharType="begin" w:fldLock="1"/>
            </w:r>
            <w:r w:rsidRPr="003E499A">
              <w:rPr>
                <w:rFonts w:ascii="Times New Roman" w:hAnsi="Times New Roman" w:cs="Times New Roman"/>
                <w:sz w:val="18"/>
                <w:szCs w:val="18"/>
                <w:lang w:val="en-GB"/>
              </w:rPr>
              <w:instrText>ADDIN CSL_CITATION {"citationItems":[{"id":"ITEM-1","itemData":{"author":[{"dropping-particle":"","family":"MOE","given":"","non-dropping-particle":"","parse-names":false,"suffix":""}],"id":"ITEM-1","issued":{"date-parts":[["2019"]]},"title":"National cooling strategy","type":"report"},"uris":["http://www.mendeley.com/documents/?uuid=6be18324-df7b-4911-a605-58fe803bc2ac"]}],"mendeley":{"formattedCitation":"(MOE, 2019a)","plainTextFormattedCitation":"(MOE, 2019a)","previouslyFormattedCitation":"(MOE, 2019a)"},"properties":{"noteIndex":0},"schema":"https://github.com/citation-style-language/schema/raw/master/csl-citation.json"}</w:instrText>
            </w:r>
            <w:r w:rsidRPr="003E499A">
              <w:rPr>
                <w:rFonts w:ascii="Times New Roman" w:hAnsi="Times New Roman" w:cs="Times New Roman"/>
                <w:sz w:val="18"/>
                <w:szCs w:val="18"/>
              </w:rPr>
              <w:fldChar w:fldCharType="separate"/>
            </w:r>
            <w:r w:rsidRPr="003E499A">
              <w:rPr>
                <w:rFonts w:ascii="Times New Roman" w:hAnsi="Times New Roman" w:cs="Times New Roman"/>
                <w:noProof/>
                <w:sz w:val="18"/>
                <w:szCs w:val="18"/>
                <w:lang w:val="en-GB"/>
              </w:rPr>
              <w:t>(MOE, 2019a)</w:t>
            </w:r>
            <w:r w:rsidRPr="003E499A">
              <w:rPr>
                <w:rFonts w:ascii="Times New Roman" w:hAnsi="Times New Roman" w:cs="Times New Roman"/>
                <w:sz w:val="18"/>
                <w:szCs w:val="18"/>
              </w:rPr>
              <w:fldChar w:fldCharType="end"/>
            </w:r>
          </w:p>
        </w:tc>
      </w:tr>
      <w:tr w:rsidR="00F17E02" w:rsidRPr="003E499A" w:rsidTr="008F575F">
        <w:tc>
          <w:tcPr>
            <w:tcW w:w="441" w:type="dxa"/>
          </w:tcPr>
          <w:p w:rsidR="00F17E02" w:rsidRPr="003E499A" w:rsidRDefault="00F17E02" w:rsidP="00D0319C">
            <w:pPr>
              <w:rPr>
                <w:rFonts w:ascii="Times New Roman" w:hAnsi="Times New Roman" w:cs="Times New Roman"/>
                <w:sz w:val="18"/>
                <w:szCs w:val="18"/>
                <w:lang w:val="en-GB"/>
              </w:rPr>
            </w:pPr>
            <w:r>
              <w:rPr>
                <w:rFonts w:ascii="Times New Roman" w:hAnsi="Times New Roman" w:cs="Times New Roman"/>
                <w:sz w:val="18"/>
                <w:szCs w:val="18"/>
                <w:lang w:val="en-GB"/>
              </w:rPr>
              <w:t>13.</w:t>
            </w:r>
          </w:p>
        </w:tc>
        <w:tc>
          <w:tcPr>
            <w:tcW w:w="2182"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National Land Use &amp; Development Master Plan 2020-2050</w:t>
            </w:r>
          </w:p>
        </w:tc>
        <w:tc>
          <w:tcPr>
            <w:tcW w:w="2781"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lang w:val="en-GB"/>
              </w:rPr>
              <w:t>It is a national spatial plan (location/space-based) that is structured around various thematic areas including Environment, Natural Resources, Tourism, and Conservation</w:t>
            </w:r>
          </w:p>
        </w:tc>
        <w:tc>
          <w:tcPr>
            <w:tcW w:w="1817" w:type="dxa"/>
          </w:tcPr>
          <w:p w:rsidR="00F17E02" w:rsidRPr="003E499A" w:rsidRDefault="00F17E02" w:rsidP="00D0319C">
            <w:pPr>
              <w:rPr>
                <w:rFonts w:ascii="Times New Roman" w:hAnsi="Times New Roman" w:cs="Times New Roman"/>
                <w:sz w:val="18"/>
                <w:szCs w:val="18"/>
                <w:lang w:val="en-GB"/>
              </w:rPr>
            </w:pPr>
          </w:p>
        </w:tc>
        <w:tc>
          <w:tcPr>
            <w:tcW w:w="1805" w:type="dxa"/>
          </w:tcPr>
          <w:p w:rsidR="00F17E02" w:rsidRPr="003E499A" w:rsidRDefault="00F17E02" w:rsidP="00D0319C">
            <w:pPr>
              <w:rPr>
                <w:rFonts w:ascii="Times New Roman" w:hAnsi="Times New Roman" w:cs="Times New Roman"/>
                <w:sz w:val="18"/>
                <w:szCs w:val="18"/>
                <w:lang w:val="en-GB"/>
              </w:rPr>
            </w:pPr>
            <w:r w:rsidRPr="003E499A">
              <w:rPr>
                <w:rFonts w:ascii="Times New Roman" w:hAnsi="Times New Roman" w:cs="Times New Roman"/>
                <w:sz w:val="18"/>
                <w:szCs w:val="18"/>
              </w:rPr>
              <w:fldChar w:fldCharType="begin" w:fldLock="1"/>
            </w:r>
            <w:r w:rsidRPr="003E499A">
              <w:rPr>
                <w:rFonts w:ascii="Times New Roman" w:hAnsi="Times New Roman" w:cs="Times New Roman"/>
                <w:sz w:val="18"/>
                <w:szCs w:val="18"/>
                <w:lang w:val="en-GB"/>
              </w:rPr>
              <w:instrText>ADDIN CSL_CITATION {"citationItems":[{"id":"ITEM-1","itemData":{"author":[{"dropping-particle":"","family":"MOE","given":"","non-dropping-particle":"","parse-names":false,"suffix":""}],"id":"ITEM-1","issued":{"date-parts":[["2020"]]},"number-of-pages":"147","title":"National land use &amp; development master plan NLUDMP 2020-2050","type":"report"},"uris":["http://www.mendeley.com/documents/?uuid=7b91e6e8-5dec-40c9-8b1c-6dcdc0816e09"]}],"mendeley":{"formattedCitation":"(MOE, 2020)","plainTextFormattedCitation":"(MOE, 2020)","previouslyFormattedCitation":"(MOE, 2020)"},"properties":{"noteIndex":0},"schema":"https://github.com/citation-style-language/schema/raw/master/csl-citation.json"}</w:instrText>
            </w:r>
            <w:r w:rsidRPr="003E499A">
              <w:rPr>
                <w:rFonts w:ascii="Times New Roman" w:hAnsi="Times New Roman" w:cs="Times New Roman"/>
                <w:sz w:val="18"/>
                <w:szCs w:val="18"/>
              </w:rPr>
              <w:fldChar w:fldCharType="separate"/>
            </w:r>
            <w:r w:rsidRPr="003E499A">
              <w:rPr>
                <w:rFonts w:ascii="Times New Roman" w:hAnsi="Times New Roman" w:cs="Times New Roman"/>
                <w:noProof/>
                <w:sz w:val="18"/>
                <w:szCs w:val="18"/>
                <w:lang w:val="en-GB"/>
              </w:rPr>
              <w:t>(MOE, 2020)</w:t>
            </w:r>
            <w:r w:rsidRPr="003E499A">
              <w:rPr>
                <w:rFonts w:ascii="Times New Roman" w:hAnsi="Times New Roman" w:cs="Times New Roman"/>
                <w:sz w:val="18"/>
                <w:szCs w:val="18"/>
              </w:rPr>
              <w:fldChar w:fldCharType="end"/>
            </w:r>
          </w:p>
          <w:p w:rsidR="00F17E02" w:rsidRPr="003E499A" w:rsidRDefault="00F17E02" w:rsidP="00D0319C">
            <w:pPr>
              <w:rPr>
                <w:rFonts w:ascii="Times New Roman" w:hAnsi="Times New Roman" w:cs="Times New Roman"/>
                <w:sz w:val="18"/>
                <w:szCs w:val="18"/>
                <w:lang w:val="en-GB"/>
              </w:rPr>
            </w:pPr>
          </w:p>
        </w:tc>
      </w:tr>
    </w:tbl>
    <w:p w:rsidR="00F17E02" w:rsidRPr="003E499A" w:rsidRDefault="00F17E02" w:rsidP="00D0319C">
      <w:pPr>
        <w:spacing w:line="240" w:lineRule="auto"/>
        <w:rPr>
          <w:rFonts w:ascii="Times New Roman" w:hAnsi="Times New Roman" w:cs="Times New Roman"/>
          <w:sz w:val="24"/>
          <w:szCs w:val="24"/>
        </w:rPr>
      </w:pPr>
    </w:p>
    <w:p w:rsidR="00F17E02" w:rsidRPr="003E499A" w:rsidRDefault="00F17E02" w:rsidP="00D0319C">
      <w:pPr>
        <w:spacing w:line="240" w:lineRule="auto"/>
      </w:pPr>
      <w:r w:rsidRPr="00A80D8F">
        <w:rPr>
          <w:rFonts w:ascii="Times New Roman" w:hAnsi="Times New Roman" w:cs="Times New Roman"/>
          <w:sz w:val="24"/>
          <w:szCs w:val="24"/>
        </w:rPr>
        <w:t xml:space="preserve">It is also worth noting that Rwanda is bound to many international conservation conventions such as the Convention </w:t>
      </w:r>
      <w:r w:rsidR="00D12F4A" w:rsidRPr="00A80D8F">
        <w:rPr>
          <w:rFonts w:ascii="Times New Roman" w:hAnsi="Times New Roman" w:cs="Times New Roman"/>
          <w:sz w:val="24"/>
          <w:szCs w:val="24"/>
        </w:rPr>
        <w:t>C</w:t>
      </w:r>
      <w:r w:rsidRPr="00A80D8F">
        <w:rPr>
          <w:rFonts w:ascii="Times New Roman" w:hAnsi="Times New Roman" w:cs="Times New Roman"/>
          <w:sz w:val="24"/>
          <w:szCs w:val="24"/>
        </w:rPr>
        <w:t>oncerning the Protection of the World Cultural and Natural Heritage (Paris Convention)</w:t>
      </w:r>
      <w:r w:rsidR="00D12F4A" w:rsidRPr="00A80D8F">
        <w:rPr>
          <w:rFonts w:ascii="Times New Roman" w:hAnsi="Times New Roman" w:cs="Times New Roman"/>
          <w:sz w:val="24"/>
          <w:szCs w:val="24"/>
        </w:rPr>
        <w:t>, 1972;</w:t>
      </w:r>
      <w:r w:rsidRPr="00A80D8F">
        <w:rPr>
          <w:rFonts w:ascii="Times New Roman" w:hAnsi="Times New Roman" w:cs="Times New Roman"/>
          <w:sz w:val="24"/>
          <w:szCs w:val="24"/>
        </w:rPr>
        <w:t xml:space="preserve"> Convention on Biological Diversity</w:t>
      </w:r>
      <w:r w:rsidR="00D12F4A" w:rsidRPr="00A80D8F">
        <w:rPr>
          <w:rFonts w:ascii="Times New Roman" w:hAnsi="Times New Roman" w:cs="Times New Roman"/>
          <w:sz w:val="24"/>
          <w:szCs w:val="24"/>
        </w:rPr>
        <w:t xml:space="preserve">, </w:t>
      </w:r>
      <w:r w:rsidRPr="00A80D8F">
        <w:rPr>
          <w:rFonts w:ascii="Times New Roman" w:hAnsi="Times New Roman" w:cs="Times New Roman"/>
          <w:sz w:val="24"/>
          <w:szCs w:val="24"/>
        </w:rPr>
        <w:t>1995; Ramsar Convention on Wetlands</w:t>
      </w:r>
      <w:r w:rsidR="00D12F4A" w:rsidRPr="00A80D8F">
        <w:rPr>
          <w:rFonts w:ascii="Times New Roman" w:hAnsi="Times New Roman" w:cs="Times New Roman"/>
          <w:sz w:val="24"/>
          <w:szCs w:val="24"/>
        </w:rPr>
        <w:t xml:space="preserve">, </w:t>
      </w:r>
      <w:r w:rsidRPr="00A80D8F">
        <w:rPr>
          <w:rFonts w:ascii="Times New Roman" w:hAnsi="Times New Roman" w:cs="Times New Roman"/>
          <w:sz w:val="24"/>
          <w:szCs w:val="24"/>
        </w:rPr>
        <w:t>2003; Convention on International Trade in Endangered Species of Wild Fauna and Flora (CITES)</w:t>
      </w:r>
      <w:r w:rsidR="00D12F4A" w:rsidRPr="00A80D8F">
        <w:rPr>
          <w:rFonts w:ascii="Times New Roman" w:hAnsi="Times New Roman" w:cs="Times New Roman"/>
          <w:sz w:val="24"/>
          <w:szCs w:val="24"/>
        </w:rPr>
        <w:t>, 1973;</w:t>
      </w:r>
      <w:r w:rsidRPr="00A80D8F">
        <w:rPr>
          <w:rFonts w:ascii="Times New Roman" w:hAnsi="Times New Roman" w:cs="Times New Roman"/>
          <w:sz w:val="24"/>
          <w:szCs w:val="24"/>
        </w:rPr>
        <w:t xml:space="preserve"> International Plant Protection Convention (IPPC)</w:t>
      </w:r>
      <w:r w:rsidR="00D12F4A" w:rsidRPr="00A80D8F">
        <w:rPr>
          <w:rFonts w:ascii="Times New Roman" w:hAnsi="Times New Roman" w:cs="Times New Roman"/>
          <w:sz w:val="24"/>
          <w:szCs w:val="24"/>
        </w:rPr>
        <w:t>, 1951;</w:t>
      </w:r>
      <w:r w:rsidRPr="00A80D8F">
        <w:rPr>
          <w:rFonts w:ascii="Times New Roman" w:hAnsi="Times New Roman" w:cs="Times New Roman"/>
          <w:sz w:val="24"/>
          <w:szCs w:val="24"/>
        </w:rPr>
        <w:t xml:space="preserve"> Convention on the Conservation of Migratory Species of Wild Animals (Bonn Convention</w:t>
      </w:r>
      <w:r w:rsidR="00D12F4A" w:rsidRPr="00A80D8F">
        <w:rPr>
          <w:rFonts w:ascii="Times New Roman" w:hAnsi="Times New Roman" w:cs="Times New Roman"/>
          <w:sz w:val="24"/>
          <w:szCs w:val="24"/>
        </w:rPr>
        <w:t>)</w:t>
      </w:r>
      <w:r w:rsidRPr="00A80D8F">
        <w:rPr>
          <w:rFonts w:ascii="Times New Roman" w:hAnsi="Times New Roman" w:cs="Times New Roman"/>
          <w:sz w:val="24"/>
          <w:szCs w:val="24"/>
        </w:rPr>
        <w:t xml:space="preserve">, 2003; </w:t>
      </w:r>
      <w:r w:rsidRPr="00A80D8F">
        <w:rPr>
          <w:rFonts w:ascii="Times New Roman" w:hAnsi="Times New Roman" w:cs="Times New Roman"/>
          <w:sz w:val="24"/>
          <w:szCs w:val="24"/>
        </w:rPr>
        <w:lastRenderedPageBreak/>
        <w:t>Convention for the Safeguarding of the Intangible Cultural Heritage</w:t>
      </w:r>
      <w:r w:rsidR="00D12F4A" w:rsidRPr="00A80D8F">
        <w:rPr>
          <w:rFonts w:ascii="Times New Roman" w:hAnsi="Times New Roman" w:cs="Times New Roman"/>
          <w:sz w:val="24"/>
          <w:szCs w:val="24"/>
        </w:rPr>
        <w:t>, 2003;</w:t>
      </w:r>
      <w:r w:rsidRPr="00A80D8F">
        <w:rPr>
          <w:rFonts w:ascii="Times New Roman" w:hAnsi="Times New Roman" w:cs="Times New Roman"/>
          <w:sz w:val="24"/>
          <w:szCs w:val="24"/>
        </w:rPr>
        <w:t xml:space="preserve"> the United Nations Framework Convention on Climate Change, </w:t>
      </w:r>
      <w:r w:rsidR="00A80D8F" w:rsidRPr="00A80D8F">
        <w:rPr>
          <w:rFonts w:ascii="Times New Roman" w:hAnsi="Times New Roman" w:cs="Times New Roman"/>
          <w:sz w:val="24"/>
          <w:szCs w:val="24"/>
        </w:rPr>
        <w:t xml:space="preserve">1994; </w:t>
      </w:r>
      <w:r w:rsidRPr="00A80D8F">
        <w:rPr>
          <w:rFonts w:ascii="Times New Roman" w:hAnsi="Times New Roman" w:cs="Times New Roman"/>
          <w:sz w:val="24"/>
          <w:szCs w:val="24"/>
        </w:rPr>
        <w:t>and World Charter for Nature</w:t>
      </w:r>
      <w:r w:rsidR="00A80D8F" w:rsidRPr="00A80D8F">
        <w:rPr>
          <w:rFonts w:ascii="Times New Roman" w:hAnsi="Times New Roman" w:cs="Times New Roman"/>
          <w:sz w:val="24"/>
          <w:szCs w:val="24"/>
        </w:rPr>
        <w:t>, 1982</w:t>
      </w:r>
      <w:r w:rsidRPr="00A80D8F">
        <w:rPr>
          <w:rFonts w:ascii="Times New Roman" w:hAnsi="Times New Roman" w:cs="Times New Roman"/>
          <w:sz w:val="24"/>
          <w:szCs w:val="24"/>
        </w:rPr>
        <w:t>.</w:t>
      </w:r>
    </w:p>
    <w:p w:rsidR="00F17E02" w:rsidRPr="003E499A" w:rsidRDefault="00F17E02" w:rsidP="00F37338">
      <w:pPr>
        <w:pStyle w:val="Heading4"/>
      </w:pPr>
      <w:bookmarkStart w:id="35" w:name="_Hlk114446356"/>
      <w:r w:rsidRPr="003E499A">
        <w:t>Ugandan conservation policy and legal instruments</w:t>
      </w:r>
    </w:p>
    <w:bookmarkEnd w:id="35"/>
    <w:p w:rsidR="00F17E02" w:rsidRPr="003E499A" w:rsidRDefault="00F17E02" w:rsidP="00D0319C">
      <w:pPr>
        <w:spacing w:line="240" w:lineRule="auto"/>
        <w:rPr>
          <w:rFonts w:ascii="Times New Roman" w:hAnsi="Times New Roman" w:cs="Times New Roman"/>
          <w:sz w:val="24"/>
          <w:szCs w:val="24"/>
        </w:rPr>
      </w:pPr>
      <w:r w:rsidRPr="003E499A">
        <w:rPr>
          <w:rFonts w:ascii="Times New Roman" w:hAnsi="Times New Roman" w:cs="Times New Roman"/>
          <w:sz w:val="24"/>
          <w:szCs w:val="24"/>
        </w:rPr>
        <w:t xml:space="preserve">Uganda is often complimented to have some of the best natural resource use and management policies that if properly implemented could lead to sustainable developments and environmental preservation. The Ugandan national conservation policies guide the management of PAs, non-PAs, forested and </w:t>
      </w:r>
      <w:proofErr w:type="spellStart"/>
      <w:r w:rsidRPr="003E499A">
        <w:rPr>
          <w:rFonts w:ascii="Times New Roman" w:hAnsi="Times New Roman" w:cs="Times New Roman"/>
          <w:sz w:val="24"/>
          <w:szCs w:val="24"/>
        </w:rPr>
        <w:t>agro</w:t>
      </w:r>
      <w:proofErr w:type="spellEnd"/>
      <w:r w:rsidRPr="003E499A">
        <w:rPr>
          <w:rFonts w:ascii="Times New Roman" w:hAnsi="Times New Roman" w:cs="Times New Roman"/>
          <w:sz w:val="24"/>
          <w:szCs w:val="24"/>
        </w:rPr>
        <w:t xml:space="preserve">-forested landscape ecosystems. They also define the roles of various stakeholders in the national conservation arena. It is difficult to draw a straight line to distinguish pieces of legislation with or without implication on conservation, however the following major pieces of legislation chronologically listed in table </w:t>
      </w:r>
      <w:r w:rsidR="004129E8">
        <w:rPr>
          <w:rFonts w:ascii="Times New Roman" w:hAnsi="Times New Roman" w:cs="Times New Roman"/>
          <w:sz w:val="24"/>
          <w:szCs w:val="24"/>
        </w:rPr>
        <w:t>3.</w:t>
      </w:r>
      <w:r>
        <w:rPr>
          <w:rFonts w:ascii="Times New Roman" w:hAnsi="Times New Roman" w:cs="Times New Roman"/>
          <w:sz w:val="24"/>
          <w:szCs w:val="24"/>
        </w:rPr>
        <w:t>3</w:t>
      </w:r>
      <w:r w:rsidRPr="003E499A">
        <w:rPr>
          <w:rFonts w:ascii="Times New Roman" w:hAnsi="Times New Roman" w:cs="Times New Roman"/>
          <w:sz w:val="24"/>
          <w:szCs w:val="24"/>
        </w:rPr>
        <w:t xml:space="preserve"> contain obvious and important linkage to conservation.</w:t>
      </w:r>
    </w:p>
    <w:p w:rsidR="008F575F" w:rsidRDefault="00F17E02" w:rsidP="008F575F">
      <w:pPr>
        <w:pStyle w:val="Caption"/>
        <w:keepNext/>
        <w:jc w:val="left"/>
      </w:pPr>
      <w:r w:rsidRPr="003E499A">
        <w:t xml:space="preserve">Table </w:t>
      </w:r>
      <w:fldSimple w:instr=" STYLEREF 1 \s ">
        <w:r w:rsidR="008F575F">
          <w:rPr>
            <w:noProof/>
          </w:rPr>
          <w:t>3</w:t>
        </w:r>
      </w:fldSimple>
      <w:r w:rsidR="008F575F">
        <w:t>.</w:t>
      </w:r>
      <w:fldSimple w:instr=" SEQ Table \* ARABIC \s 1 ">
        <w:r w:rsidR="008F575F">
          <w:rPr>
            <w:noProof/>
          </w:rPr>
          <w:t>3</w:t>
        </w:r>
      </w:fldSimple>
      <w:r w:rsidRPr="003E499A">
        <w:t>. Major conservation policy and legal instruments in Uganda</w:t>
      </w:r>
    </w:p>
    <w:tbl>
      <w:tblPr>
        <w:tblStyle w:val="TableGrid"/>
        <w:tblW w:w="0" w:type="auto"/>
        <w:tblLook w:val="04A0" w:firstRow="1" w:lastRow="0" w:firstColumn="1" w:lastColumn="0" w:noHBand="0" w:noVBand="1"/>
      </w:tblPr>
      <w:tblGrid>
        <w:gridCol w:w="465"/>
        <w:gridCol w:w="1705"/>
        <w:gridCol w:w="2756"/>
        <w:gridCol w:w="2313"/>
        <w:gridCol w:w="1787"/>
      </w:tblGrid>
      <w:tr w:rsidR="00E51D13" w:rsidRPr="003E499A" w:rsidTr="008F575F">
        <w:tc>
          <w:tcPr>
            <w:tcW w:w="465" w:type="dxa"/>
            <w:tcBorders>
              <w:left w:val="nil"/>
              <w:bottom w:val="single" w:sz="4" w:space="0" w:color="auto"/>
              <w:right w:val="nil"/>
            </w:tcBorders>
          </w:tcPr>
          <w:p w:rsidR="00F17E02" w:rsidRPr="003E499A" w:rsidRDefault="00F17E02" w:rsidP="00D0319C">
            <w:pPr>
              <w:rPr>
                <w:rFonts w:ascii="Times New Roman" w:hAnsi="Times New Roman" w:cs="Times New Roman"/>
                <w:b/>
                <w:bCs/>
                <w:sz w:val="18"/>
                <w:szCs w:val="18"/>
              </w:rPr>
            </w:pPr>
            <w:r w:rsidRPr="003E499A">
              <w:rPr>
                <w:rFonts w:ascii="Times New Roman" w:hAnsi="Times New Roman" w:cs="Times New Roman"/>
                <w:b/>
                <w:bCs/>
                <w:sz w:val="18"/>
                <w:szCs w:val="18"/>
              </w:rPr>
              <w:t>No</w:t>
            </w:r>
          </w:p>
        </w:tc>
        <w:tc>
          <w:tcPr>
            <w:tcW w:w="1705" w:type="dxa"/>
            <w:tcBorders>
              <w:left w:val="nil"/>
              <w:bottom w:val="single" w:sz="4" w:space="0" w:color="auto"/>
              <w:right w:val="nil"/>
            </w:tcBorders>
          </w:tcPr>
          <w:p w:rsidR="00F17E02" w:rsidRPr="003E499A" w:rsidRDefault="00F17E02" w:rsidP="00D0319C">
            <w:pPr>
              <w:rPr>
                <w:rFonts w:ascii="Times New Roman" w:hAnsi="Times New Roman" w:cs="Times New Roman"/>
                <w:b/>
                <w:bCs/>
                <w:sz w:val="18"/>
                <w:szCs w:val="18"/>
              </w:rPr>
            </w:pPr>
            <w:r w:rsidRPr="003E499A">
              <w:rPr>
                <w:rFonts w:ascii="Times New Roman" w:hAnsi="Times New Roman" w:cs="Times New Roman"/>
                <w:b/>
                <w:bCs/>
                <w:sz w:val="18"/>
                <w:szCs w:val="18"/>
              </w:rPr>
              <w:t>Primary piece of legislation/policy</w:t>
            </w:r>
          </w:p>
        </w:tc>
        <w:tc>
          <w:tcPr>
            <w:tcW w:w="2756" w:type="dxa"/>
            <w:tcBorders>
              <w:left w:val="nil"/>
              <w:bottom w:val="single" w:sz="4" w:space="0" w:color="auto"/>
              <w:right w:val="nil"/>
            </w:tcBorders>
          </w:tcPr>
          <w:p w:rsidR="00F17E02" w:rsidRPr="003E499A" w:rsidRDefault="00F17E02" w:rsidP="00D0319C">
            <w:pPr>
              <w:rPr>
                <w:rFonts w:ascii="Times New Roman" w:hAnsi="Times New Roman" w:cs="Times New Roman"/>
                <w:b/>
                <w:bCs/>
                <w:sz w:val="18"/>
                <w:szCs w:val="18"/>
              </w:rPr>
            </w:pPr>
            <w:r w:rsidRPr="003E499A">
              <w:rPr>
                <w:rFonts w:ascii="Times New Roman" w:hAnsi="Times New Roman" w:cs="Times New Roman"/>
                <w:b/>
                <w:bCs/>
                <w:sz w:val="18"/>
                <w:szCs w:val="18"/>
              </w:rPr>
              <w:t>Conservation component</w:t>
            </w:r>
          </w:p>
        </w:tc>
        <w:tc>
          <w:tcPr>
            <w:tcW w:w="2313" w:type="dxa"/>
            <w:tcBorders>
              <w:left w:val="nil"/>
              <w:bottom w:val="single" w:sz="4" w:space="0" w:color="auto"/>
              <w:right w:val="nil"/>
            </w:tcBorders>
          </w:tcPr>
          <w:p w:rsidR="00F17E02" w:rsidRPr="003E499A" w:rsidRDefault="00F17E02" w:rsidP="00D0319C">
            <w:pPr>
              <w:rPr>
                <w:rFonts w:ascii="Times New Roman" w:hAnsi="Times New Roman" w:cs="Times New Roman"/>
                <w:b/>
                <w:bCs/>
                <w:sz w:val="18"/>
                <w:szCs w:val="18"/>
              </w:rPr>
            </w:pPr>
            <w:r w:rsidRPr="003E499A">
              <w:rPr>
                <w:rFonts w:ascii="Times New Roman" w:hAnsi="Times New Roman" w:cs="Times New Roman"/>
                <w:b/>
                <w:bCs/>
                <w:sz w:val="18"/>
                <w:szCs w:val="18"/>
              </w:rPr>
              <w:t>Weakness</w:t>
            </w:r>
          </w:p>
        </w:tc>
        <w:tc>
          <w:tcPr>
            <w:tcW w:w="1787" w:type="dxa"/>
            <w:tcBorders>
              <w:left w:val="nil"/>
              <w:bottom w:val="single" w:sz="4" w:space="0" w:color="auto"/>
              <w:right w:val="nil"/>
            </w:tcBorders>
          </w:tcPr>
          <w:p w:rsidR="00F17E02" w:rsidRPr="003E499A" w:rsidRDefault="00F17E02" w:rsidP="00D0319C">
            <w:pPr>
              <w:rPr>
                <w:rFonts w:ascii="Times New Roman" w:hAnsi="Times New Roman" w:cs="Times New Roman"/>
                <w:b/>
                <w:bCs/>
                <w:sz w:val="18"/>
                <w:szCs w:val="18"/>
              </w:rPr>
            </w:pPr>
            <w:r w:rsidRPr="003E499A">
              <w:rPr>
                <w:rFonts w:ascii="Times New Roman" w:hAnsi="Times New Roman" w:cs="Times New Roman"/>
                <w:b/>
                <w:bCs/>
                <w:sz w:val="18"/>
                <w:szCs w:val="18"/>
              </w:rPr>
              <w:t>Source</w:t>
            </w:r>
          </w:p>
        </w:tc>
      </w:tr>
      <w:tr w:rsidR="00E51D13" w:rsidRPr="003E499A" w:rsidTr="008F575F">
        <w:tc>
          <w:tcPr>
            <w:tcW w:w="46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1.</w:t>
            </w:r>
          </w:p>
        </w:tc>
        <w:tc>
          <w:tcPr>
            <w:tcW w:w="170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National Environment Policy, 1994</w:t>
            </w:r>
          </w:p>
        </w:tc>
        <w:tc>
          <w:tcPr>
            <w:tcW w:w="2756"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 xml:space="preserve">While historically, conservation approach emphasized on preservation rather than utilization and community participation, the Environment Policy was the first official document to recognize community participation in wildlife management. </w:t>
            </w:r>
          </w:p>
        </w:tc>
        <w:tc>
          <w:tcPr>
            <w:tcW w:w="2313"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Through the implementation of the policy was observed the need scale-up human-wildlife conflict management and enhance benefit sharing scheme.</w:t>
            </w:r>
          </w:p>
        </w:tc>
        <w:tc>
          <w:tcPr>
            <w:tcW w:w="1787"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rPr>
              <w:instrText>ADDIN CSL_CITATION {"citationItems":[{"id":"ITEM-1","itemData":{"author":[{"dropping-particle":"","family":"UWA","given":"","non-dropping-particle":"","parse-names":false,"suffix":""}],"id":"ITEM-1","issued":{"date-parts":[["2020"]]},"number-of-pages":"6-12","title":"Uganda wildlife authority community conservation policy","type":"report"},"uris":["http://www.mendeley.com/documents/?uuid=36eec2ab-9ef9-4f05-b07c-0faf21994aca"]},{"id":"ITEM-2","itemData":{"DOI":"10.1659/mrd.1092","ISSN":"02764741","abstract":"The livelihoods of most Ugandans intimately depend on the environment, both as a source of subsistence and as a basis for production. Environmental degradation in the country-which includes wetland encroachment and contamination of water resources-is critical: based on estimates, degradation costs represent an environmental debt of about US$ 1-4 billion today. Although the country's water resources are rich, severe water scarcity is predicted for the near future, particularly in more populated areas and in the more fragile arid and semiarid pastoral areas. The Ugandan government has formulated a number of policies to regulate land use and impacts on the environment. However, the alarming rate at which natural resources are being depleted shows that these laws and policies are not enforced effectively. Using both qualitative and quantitative research methods, the study presented here focused on water resources, assessing their status in 4 mountainous districts of Uganda and evaluating the effectiveness of government policies with regard to restoration and conservation of water catchments. The study revealed a glaring gap between the existence of laws and policies on the one hand, and the reality of implementation on the ground on the other-there is rapid depletion of water resources, and water scarcity has already led to conflicts. The paper calls for effective implementation of existing policies and laws without fear or favor and for increased budgetary allocations from the current 25.6 billion shillings (2006- 2007) to 34.45 billion or more, to accommodate funding for the execution of policies and laws. It also calls for meticulous review of the existing environmental policy regime with a view to tailoring, customizing, and localizing it for practical purposes. © 2009 by the authors.","author":[{"dropping-particle":"","family":"Rwakakamba","given":"Twesigye Morrison","non-dropping-particle":"","parse-names":false,"suffix":""}],"container-title":"Mountain Research and Development","id":"ITEM-2","issue":"2","issued":{"date-parts":[["2009"]]},"page":"121-127","title":"How effective are Uganda's environmental policies?","type":"article-journal","volume":"29"},"uris":["http://www.mendeley.com/documents/?uuid=f739a9a8-d0cc-42ec-9c5a-fc4fbaf4134e"]},{"id":"ITEM-3","itemData":{"ISBN":"9789970881093","abstract":"Photo Wild Asian Elephant (Elephas maximus) in Rakine Yoma Elephant Range NBSAP Myanmar i Sustainable development of a country significantly depends on biodiversity conservation, management and utilization in a sustainable manner. Biodiversity is largely viewed as a solution to problems, particularly to improve the welfare of the current and future generations. In this regard, we need to have a sound strategy and action plan to provide a comprehensive framework for the sustainability of biodiversity while meeting the development goals for the human society. This document, National Biodiversity Strategy and Action Plan – NBSAP, is the framework that takes us in the direction of achieving the sustainable development without being detrimental to biodiversity. Myanmar has been widely regarded as one of the biodiversity richest countries in the Asia and Pacific Region. However, biodiversity in our country has been dwindling for many years due to the lack of integrated efforts for the sound protection and management of biodiversity. Indeed, biodiversity is very special for our welfare since it is the major component of life supporting system. The protection and wise utilization of biodiversity is imperative to our nation as biodiversity provides the basic needs such as food, shelter, clothing, cosmetic, medicines, recreation and so on. Besides, the value of biodiversity became much higher than ever as regulating the stability of the climate entirely depends upon biodiversity. This document is a product of a long collaborative process by governmental organizations, academic institutions and non-governmental organizations. The development of this NBSAP has opened a new chapter in our country for practising effective protection, sustainable management and wise use of biodiversity. The sustainable development means more than just an economic progress of a country. It also consists of social and environmental aspects. It is crucial to attain the balance among these three aspects in order to ensure the sustainable development. In this regard, the NBSAP offers us opportunities to harmonize economic, social, and environmental aspects. With the great expectation on the sustainability of our biodiversity richness, I sincerely and earnestly urge all the segments of society to commit the effective implementation of the action plans prescribed in this NBSAP.","author":[{"dropping-particle":"","family":"NEMA","given":"","non-dropping-particle":"","parse-names":false,"suffix":""}],"id":"ITEM-3","issued":{"date-parts":[["2016"]]},"number-of-pages":"121","title":"National biodiversity strategy and action plan II (2015-2025)","type":"report"},"uris":["http://www.mendeley.com/documents/?uuid=2788686e-2c3b-4fe5-8eca-7db890211175"]},{"id":"ITEM-4","itemData":{"author":[{"dropping-particle":"","family":"Ministry of Water Lands and Environment","given":"","non-dropping-particle":"","parse-names":false,"suffix":""}],"container-title":"Republic of Uganda","id":"ITEM-4","issued":{"date-parts":[["2001"]]},"title":"The uganda forestry policy","type":"report"},"uris":["http://www.mendeley.com/documents/?uuid=806f2c94-5e04-45d7-8262-0da9eb032cd9"]},{"id":"ITEM-5","itemData":{"ISBN":"9786021504475","author":[{"dropping-particle":"","family":"Banana","given":"Abwoli Y","non-dropping-particle":"","parse-names":false,"suffix":""},{"dropping-particle":"","family":"Byakagaba","given":"Patrick","non-dropping-particle":"","parse-names":false,"suffix":""},{"dropping-particle":"","family":"Russell","given":"Aaron JM","non-dropping-particle":"","parse-names":false,"suffix":""},{"dropping-particle":"","family":"Waiswa","given":"Daniel","non-dropping-particle":"","parse-names":false,"suffix":""},{"dropping-particle":"","family":"Bomuhangi","given":"Allan","non-dropping-particle":"","parse-names":false,"suffix":""}],"id":"ITEM-5","issue":"December","issued":{"date-parts":[["2014"]]},"number-of-pages":"39","title":"A review of Uganda's national policies relevant to climate change adaptation and mitigation-Insights from Mount Elgon","type":"report"},"uris":["http://www.mendeley.com/documents/?uuid=e972cf0e-2519-4a1a-b359-a156b00085ce"]}],"mendeley":{"formattedCitation":"(Ministry of Water Lands and Environment, 2001; Rwakakamba, 2009; Banana &lt;i&gt;et al.&lt;/i&gt;, 2014; NEMA, 2016; UWA, 2020)","plainTextFormattedCitation":"(Ministry of Water Lands and Environment, 2001; Rwakakamba, 2009; Banana et al., 2014; NEMA, 2016; UWA, 2020)","previouslyFormattedCitation":"(Ministry of Water Lands and Environment, 2001; Rwakakamba, 2009; Banana &lt;i&gt;et al.&lt;/i&gt;, 2014; NEMA, 2016; UWA, 2020)"},"properties":{"noteIndex":0},"schema":"https://github.com/citation-style-language/schema/raw/master/csl-citation.json"}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rPr>
              <w:t xml:space="preserve">(Ministry of Water Lands and Environment, 2001; Rwakakamba, 2009; Banana </w:t>
            </w:r>
            <w:r w:rsidRPr="003E499A">
              <w:rPr>
                <w:rFonts w:ascii="Times New Roman" w:hAnsi="Times New Roman" w:cs="Times New Roman"/>
                <w:i/>
                <w:noProof/>
                <w:color w:val="000000" w:themeColor="text1"/>
                <w:sz w:val="18"/>
                <w:szCs w:val="18"/>
              </w:rPr>
              <w:t>et al.</w:t>
            </w:r>
            <w:r w:rsidRPr="003E499A">
              <w:rPr>
                <w:rFonts w:ascii="Times New Roman" w:hAnsi="Times New Roman" w:cs="Times New Roman"/>
                <w:noProof/>
                <w:color w:val="000000" w:themeColor="text1"/>
                <w:sz w:val="18"/>
                <w:szCs w:val="18"/>
              </w:rPr>
              <w:t>, 2014; NEMA, 2016; UWA, 2020)</w:t>
            </w:r>
            <w:r w:rsidRPr="003E499A">
              <w:rPr>
                <w:rFonts w:ascii="Times New Roman" w:hAnsi="Times New Roman" w:cs="Times New Roman"/>
                <w:color w:val="000000" w:themeColor="text1"/>
                <w:sz w:val="18"/>
                <w:szCs w:val="18"/>
              </w:rPr>
              <w:fldChar w:fldCharType="end"/>
            </w:r>
          </w:p>
        </w:tc>
      </w:tr>
      <w:tr w:rsidR="00E51D13" w:rsidRPr="003E499A" w:rsidTr="008F575F">
        <w:tc>
          <w:tcPr>
            <w:tcW w:w="46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2.</w:t>
            </w:r>
          </w:p>
        </w:tc>
        <w:tc>
          <w:tcPr>
            <w:tcW w:w="170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National Policy for the Conservation and Management of Wetland Resources</w:t>
            </w:r>
            <w:r w:rsidR="00E51D13">
              <w:rPr>
                <w:rFonts w:ascii="Times New Roman" w:hAnsi="Times New Roman" w:cs="Times New Roman"/>
                <w:color w:val="000000" w:themeColor="text1"/>
                <w:sz w:val="18"/>
                <w:szCs w:val="18"/>
              </w:rPr>
              <w:t xml:space="preserve">, </w:t>
            </w:r>
            <w:r w:rsidRPr="003E499A">
              <w:rPr>
                <w:rFonts w:ascii="Times New Roman" w:hAnsi="Times New Roman" w:cs="Times New Roman"/>
                <w:color w:val="000000" w:themeColor="text1"/>
                <w:sz w:val="18"/>
                <w:szCs w:val="18"/>
              </w:rPr>
              <w:t>1995</w:t>
            </w:r>
          </w:p>
        </w:tc>
        <w:tc>
          <w:tcPr>
            <w:tcW w:w="2756"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 xml:space="preserve">The policy recognizes the ecological value of wetlands at supporting a wide range of biodiversity, recharging groundwater supplies, enhance </w:t>
            </w:r>
            <w:r w:rsidRPr="00A80D8F">
              <w:rPr>
                <w:rFonts w:ascii="Times New Roman" w:hAnsi="Times New Roman" w:cs="Times New Roman"/>
                <w:color w:val="000000" w:themeColor="text1"/>
                <w:sz w:val="18"/>
                <w:szCs w:val="18"/>
              </w:rPr>
              <w:t>water quality, and control floods. Th</w:t>
            </w:r>
            <w:r w:rsidR="00A80D8F" w:rsidRPr="00A80D8F">
              <w:rPr>
                <w:rFonts w:ascii="Times New Roman" w:hAnsi="Times New Roman" w:cs="Times New Roman"/>
                <w:color w:val="000000" w:themeColor="text1"/>
                <w:sz w:val="18"/>
                <w:szCs w:val="18"/>
              </w:rPr>
              <w:t>is</w:t>
            </w:r>
            <w:r w:rsidRPr="00A80D8F">
              <w:rPr>
                <w:rFonts w:ascii="Times New Roman" w:hAnsi="Times New Roman" w:cs="Times New Roman"/>
                <w:color w:val="000000" w:themeColor="text1"/>
                <w:sz w:val="18"/>
                <w:szCs w:val="18"/>
              </w:rPr>
              <w:t xml:space="preserve"> policy </w:t>
            </w:r>
            <w:r w:rsidR="00A80D8F" w:rsidRPr="00A80D8F">
              <w:rPr>
                <w:rFonts w:ascii="Times New Roman" w:hAnsi="Times New Roman" w:cs="Times New Roman"/>
                <w:color w:val="000000" w:themeColor="text1"/>
                <w:sz w:val="18"/>
                <w:szCs w:val="18"/>
              </w:rPr>
              <w:t>advocates for the preservation of Uganda’s wetland, ensuring the continued ecological and socio-economic contributions for the present and future prosperity of the population.</w:t>
            </w:r>
          </w:p>
        </w:tc>
        <w:tc>
          <w:tcPr>
            <w:tcW w:w="2313" w:type="dxa"/>
            <w:tcBorders>
              <w:left w:val="nil"/>
              <w:right w:val="nil"/>
            </w:tcBorders>
          </w:tcPr>
          <w:p w:rsidR="00F17E02" w:rsidRPr="003E499A" w:rsidRDefault="00F17E02" w:rsidP="0046423B">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Considering the high number and extent of wetlands that have been depleted in the recent past, the policy lacks provisions on the restoration of those wetlands.</w:t>
            </w:r>
            <w:r w:rsidR="0046423B">
              <w:rPr>
                <w:rFonts w:ascii="Times New Roman" w:hAnsi="Times New Roman" w:cs="Times New Roman"/>
                <w:color w:val="000000" w:themeColor="text1"/>
                <w:sz w:val="18"/>
                <w:szCs w:val="18"/>
              </w:rPr>
              <w:t xml:space="preserve"> </w:t>
            </w:r>
            <w:r w:rsidRPr="003E499A">
              <w:rPr>
                <w:rFonts w:ascii="Times New Roman" w:hAnsi="Times New Roman" w:cs="Times New Roman"/>
                <w:color w:val="000000" w:themeColor="text1"/>
                <w:sz w:val="18"/>
                <w:szCs w:val="18"/>
              </w:rPr>
              <w:t>The policy lacks consideration of farmers who rather constitute the majority of wetlands degraders but also bearing the capacity of becoming future protectors.</w:t>
            </w:r>
            <w:r w:rsidR="0046423B">
              <w:rPr>
                <w:rFonts w:ascii="Times New Roman" w:hAnsi="Times New Roman" w:cs="Times New Roman"/>
                <w:color w:val="000000" w:themeColor="text1"/>
                <w:sz w:val="18"/>
                <w:szCs w:val="18"/>
              </w:rPr>
              <w:t xml:space="preserve"> </w:t>
            </w:r>
            <w:r w:rsidRPr="003E499A">
              <w:rPr>
                <w:rFonts w:ascii="Times New Roman" w:hAnsi="Times New Roman" w:cs="Times New Roman"/>
                <w:color w:val="000000" w:themeColor="text1"/>
                <w:sz w:val="18"/>
                <w:szCs w:val="18"/>
              </w:rPr>
              <w:t>The policy should address financing and budgeting issue as well, considering the meager budget generally allocated to the implementation of environmental commitments.</w:t>
            </w:r>
            <w:r w:rsidR="0046423B">
              <w:rPr>
                <w:rFonts w:ascii="Times New Roman" w:hAnsi="Times New Roman" w:cs="Times New Roman"/>
                <w:color w:val="000000" w:themeColor="text1"/>
                <w:sz w:val="18"/>
                <w:szCs w:val="18"/>
              </w:rPr>
              <w:t xml:space="preserve"> </w:t>
            </w:r>
            <w:r w:rsidRPr="003E499A">
              <w:rPr>
                <w:rFonts w:ascii="Times New Roman" w:hAnsi="Times New Roman" w:cs="Times New Roman"/>
                <w:color w:val="000000" w:themeColor="text1"/>
                <w:sz w:val="18"/>
                <w:szCs w:val="18"/>
              </w:rPr>
              <w:t>With this policy, the generalized desire for modernization and rapid economic growth tend to find holes to suppress environmental common interests with little to no public debate prior to project implementation.</w:t>
            </w:r>
          </w:p>
        </w:tc>
        <w:tc>
          <w:tcPr>
            <w:tcW w:w="1787"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rPr>
              <w:instrText>ADDIN CSL_CITATION {"citationItems":[{"id":"ITEM-1","itemData":{"author":[{"dropping-particle":"","family":"UWA","given":"","non-dropping-particle":"","parse-names":false,"suffix":""}],"id":"ITEM-1","issued":{"date-parts":[["2020"]]},"number-of-pages":"6-12","title":"Uganda wildlife authority community conservation policy","type":"report"},"uris":["http://www.mendeley.com/documents/?uuid=36eec2ab-9ef9-4f05-b07c-0faf21994aca"]},{"id":"ITEM-2","itemData":{"DOI":"10.1659/mrd.1092","ISSN":"02764741","abstract":"The livelihoods of most Ugandans intimately depend on the environment, both as a source of subsistence and as a basis for production. Environmental degradation in the country-which includes wetland encroachment and contamination of water resources-is critical: based on estimates, degradation costs represent an environmental debt of about US$ 1-4 billion today. Although the country's water resources are rich, severe water scarcity is predicted for the near future, particularly in more populated areas and in the more fragile arid and semiarid pastoral areas. The Ugandan government has formulated a number of policies to regulate land use and impacts on the environment. However, the alarming rate at which natural resources are being depleted shows that these laws and policies are not enforced effectively. Using both qualitative and quantitative research methods, the study presented here focused on water resources, assessing their status in 4 mountainous districts of Uganda and evaluating the effectiveness of government policies with regard to restoration and conservation of water catchments. The study revealed a glaring gap between the existence of laws and policies on the one hand, and the reality of implementation on the ground on the other-there is rapid depletion of water resources, and water scarcity has already led to conflicts. The paper calls for effective implementation of existing policies and laws without fear or favor and for increased budgetary allocations from the current 25.6 billion shillings (2006- 2007) to 34.45 billion or more, to accommodate funding for the execution of policies and laws. It also calls for meticulous review of the existing environmental policy regime with a view to tailoring, customizing, and localizing it for practical purposes. © 2009 by the authors.","author":[{"dropping-particle":"","family":"Rwakakamba","given":"Twesigye Morrison","non-dropping-particle":"","parse-names":false,"suffix":""}],"container-title":"Mountain Research and Development","id":"ITEM-2","issue":"2","issued":{"date-parts":[["2009"]]},"page":"121-127","title":"How effective are Uganda's environmental policies?","type":"article-journal","volume":"29"},"uris":["http://www.mendeley.com/documents/?uuid=f739a9a8-d0cc-42ec-9c5a-fc4fbaf4134e"]},{"id":"ITEM-3","itemData":{"ISBN":"9789970881093","abstract":"Photo Wild Asian Elephant (Elephas maximus) in Rakine Yoma Elephant Range NBSAP Myanmar i Sustainable development of a country significantly depends on biodiversity conservation, management and utilization in a sustainable manner. Biodiversity is largely viewed as a solution to problems, particularly to improve the welfare of the current and future generations. In this regard, we need to have a sound strategy and action plan to provide a comprehensive framework for the sustainability of biodiversity while meeting the development goals for the human society. This document, National Biodiversity Strategy and Action Plan – NBSAP, is the framework that takes us in the direction of achieving the sustainable development without being detrimental to biodiversity. Myanmar has been widely regarded as one of the biodiversity richest countries in the Asia and Pacific Region. However, biodiversity in our country has been dwindling for many years due to the lack of integrated efforts for the sound protection and management of biodiversity. Indeed, biodiversity is very special for our welfare since it is the major component of life supporting system. The protection and wise utilization of biodiversity is imperative to our nation as biodiversity provides the basic needs such as food, shelter, clothing, cosmetic, medicines, recreation and so on. Besides, the value of biodiversity became much higher than ever as regulating the stability of the climate entirely depends upon biodiversity. This document is a product of a long collaborative process by governmental organizations, academic institutions and non-governmental organizations. The development of this NBSAP has opened a new chapter in our country for practising effective protection, sustainable management and wise use of biodiversity. The sustainable development means more than just an economic progress of a country. It also consists of social and environmental aspects. It is crucial to attain the balance among these three aspects in order to ensure the sustainable development. In this regard, the NBSAP offers us opportunities to harmonize economic, social, and environmental aspects. With the great expectation on the sustainability of our biodiversity richness, I sincerely and earnestly urge all the segments of society to commit the effective implementation of the action plans prescribed in this NBSAP.","author":[{"dropping-particle":"","family":"NEMA","given":"","non-dropping-particle":"","parse-names":false,"suffix":""}],"id":"ITEM-3","issued":{"date-parts":[["2016"]]},"number-of-pages":"121","title":"National biodiversity strategy and action plan II (2015-2025)","type":"report"},"uris":["http://www.mendeley.com/documents/?uuid=2788686e-2c3b-4fe5-8eca-7db890211175"]},{"id":"ITEM-4","itemData":{"author":[{"dropping-particle":"","family":"Ministry of Water Lands and Environment","given":"","non-dropping-particle":"","parse-names":false,"suffix":""}],"container-title":"Republic of Uganda","id":"ITEM-4","issued":{"date-parts":[["2001"]]},"title":"The uganda forestry policy","type":"report"},"uris":["http://www.mendeley.com/documents/?uuid=806f2c94-5e04-45d7-8262-0da9eb032cd9"]}],"mendeley":{"formattedCitation":"(Ministry of Water Lands and Environment, 2001; Rwakakamba, 2009; NEMA, 2016; UWA, 2020)","plainTextFormattedCitation":"(Ministry of Water Lands and Environment, 2001; Rwakakamba, 2009; NEMA, 2016; UWA, 2020)","previouslyFormattedCitation":"(Ministry of Water Lands and Environment, 2001; Rwakakamba, 2009; NEMA, 2016; UWA, 2020)"},"properties":{"noteIndex":0},"schema":"https://github.com/citation-style-language/schema/raw/master/csl-citation.json"}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rPr>
              <w:t>(Ministry of Water Lands and Environment, 2001; Rwakakamba, 2009; NEMA, 2016; UWA, 2020)</w:t>
            </w:r>
            <w:r w:rsidRPr="003E499A">
              <w:rPr>
                <w:rFonts w:ascii="Times New Roman" w:hAnsi="Times New Roman" w:cs="Times New Roman"/>
                <w:color w:val="000000" w:themeColor="text1"/>
                <w:sz w:val="18"/>
                <w:szCs w:val="18"/>
              </w:rPr>
              <w:fldChar w:fldCharType="end"/>
            </w:r>
          </w:p>
        </w:tc>
      </w:tr>
      <w:tr w:rsidR="00E51D13" w:rsidRPr="003E499A" w:rsidTr="008F575F">
        <w:tc>
          <w:tcPr>
            <w:tcW w:w="46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3.</w:t>
            </w:r>
          </w:p>
        </w:tc>
        <w:tc>
          <w:tcPr>
            <w:tcW w:w="170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Uganda Wildlife Statute, 1996</w:t>
            </w:r>
          </w:p>
        </w:tc>
        <w:tc>
          <w:tcPr>
            <w:tcW w:w="2756"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 xml:space="preserve">The Act establishes the Uganda Wildlife Authority merging Uganda National Parks Board of Trustees and the Game Department into a single agency. The Statute guides on how to deal with wildlife resource offenders, through payment of fines, </w:t>
            </w:r>
            <w:r w:rsidRPr="003E499A">
              <w:rPr>
                <w:rFonts w:ascii="Times New Roman" w:hAnsi="Times New Roman" w:cs="Times New Roman"/>
                <w:color w:val="000000" w:themeColor="text1"/>
                <w:sz w:val="18"/>
                <w:szCs w:val="18"/>
              </w:rPr>
              <w:lastRenderedPageBreak/>
              <w:t>restitution, compensation, and imprisonment.</w:t>
            </w:r>
          </w:p>
        </w:tc>
        <w:tc>
          <w:tcPr>
            <w:tcW w:w="2313"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p>
        </w:tc>
        <w:tc>
          <w:tcPr>
            <w:tcW w:w="1787"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rPr>
              <w:instrText>ADDIN CSL_CITATION {"citationItems":[{"id":"ITEM-1","itemData":{"author":[{"dropping-particle":"","family":"National Resistance Council","given":"","non-dropping-particle":"","parse-names":false,"suffix":""}],"id":"ITEM-1","issue":"14","issued":{"date-parts":[["1996"]]},"page":"1-58","title":"Uganda wildlife statute","type":"article-journal"},"uris":["http://www.mendeley.com/documents/?uuid=93a91b54-8566-41f5-a4ab-2f6165d66f3c"]},{"id":"ITEM-2","itemData":{"author":[{"dropping-particle":"","family":"Namirimu","given":"Teddy","non-dropping-particle":"","parse-names":false,"suffix":""},{"dropping-particle":"","family":"Buyinza","given":"Joel","non-dropping-particle":"","parse-names":false,"suffix":""},{"dropping-particle":"","family":"Nyadoi","given":"Priscilla","non-dropping-particle":"","parse-names":false,"suffix":""}],"id":"ITEM-2","issue":"1","issued":{"date-parts":[["2012"]]},"number-of-pages":"1-9","title":"Uganda wildlife society policy dialogues 2012","type":"report"},"uris":["http://www.mendeley.com/documents/?uuid=d01b4318-7fe8-485d-8bf3-bc6221e7c58b"]},{"id":"ITEM-3","itemData":{"author":[{"dropping-particle":"","family":"UWA","given":"","non-dropping-particle":"","parse-names":false,"suffix":""}],"id":"ITEM-3","issued":{"date-parts":[["2020"]]},"number-of-pages":"6-12","title":"Uganda wildlife authority community conservation policy","type":"report"},"uris":["http://www.mendeley.com/documents/?uuid=36eec2ab-9ef9-4f05-b07c-0faf21994aca"]},{"id":"ITEM-4","itemData":{"DOI":"10.1002/9781444303179.ch13","ISBN":"9781444303179","author":[{"dropping-particle":"","family":"Lamprey","given":"Richard H.","non-dropping-particle":"","parse-names":false,"suffix":""},{"dropping-particle":"","family":"Mugisha","given":"Arthur","non-dropping-particle":"","parse-names":false,"suffix":""}],"container-title":"Recreational Hunting, Conservation and Rural Livelihoods: Science and Practice","id":"ITEM-4","issued":{"date-parts":[["2009"]]},"page":"212-232","title":"The Re-introduction of recreational hunting in Uganda","type":"article-journal"},"uris":["http://www.mendeley.com/documents/?uuid=a95665ca-3449-4830-99af-23b3f8ea9332"]},{"id":"ITEM-5","itemData":{"author":[{"dropping-particle":"","family":"Ministry of Water Lands and Environment","given":"","non-dropping-particle":"","parse-names":false,"suffix":""}],"container-title":"Republic of Uganda","id":"ITEM-5","issued":{"date-parts":[["2001"]]},"title":"The uganda forestry policy","type":"report"},"uris":["http://www.mendeley.com/documents/?uuid=806f2c94-5e04-45d7-8262-0da9eb032cd9"]},{"id":"ITEM-6","itemData":{"ISBN":"9786021504475","author":[{"dropping-particle":"","family":"Banana","given":"Abwoli Y","non-dropping-particle":"","parse-names":false,"suffix":""},{"dropping-particle":"","family":"Byakagaba","given":"Patrick","non-dropping-particle":"","parse-names":false,"suffix":""},{"dropping-particle":"","family":"Russell","given":"Aaron JM","non-dropping-particle":"","parse-names":false,"suffix":""},{"dropping-particle":"","family":"Waiswa","given":"Daniel","non-dropping-particle":"","parse-names":false,"suffix":""},{"dropping-particle":"","family":"Bomuhangi","given":"Allan","non-dropping-particle":"","parse-names":false,"suffix":""}],"id":"ITEM-6","issue":"December","issued":{"date-parts":[["2014"]]},"number-of-pages":"39","title":"A review of Uganda's national policies relevant to climate change adaptation and mitigation-Insights from Mount Elgon","type":"report"},"uris":["http://www.mendeley.com/documents/?uuid=e972cf0e-2519-4a1a-b359-a156b00085ce"]}],"mendeley":{"formattedCitation":"(National Resistance Council, 1996; Ministry of Water Lands and Environment, 2001; Lamprey and Mugisha, 2009; Namirimu, Buyinza and Nyadoi, 2012; Banana &lt;i&gt;et al.&lt;/i&gt;, 2014; UWA, 2020)","plainTextFormattedCitation":"(National Resistance Council, 1996; Ministry of Water Lands and Environment, 2001; Lamprey and Mugisha, 2009; Namirimu, Buyinza and Nyadoi, 2012; Banana et al., 2014; UWA, 2020)","previouslyFormattedCitation":"(National Resistance Council, 1996; Ministry of Water Lands and Environment, 2001; Lamprey and Mugisha, 2009; Namirimu, Buyinza and Nyadoi, 2012; Banana &lt;i&gt;et al.&lt;/i&gt;, 2014; UWA, 2020)"},"properties":{"noteIndex":0},"schema":"https://github.com/citation-style-language/schema/raw/master/csl-citation.json"}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rPr>
              <w:t xml:space="preserve">(National Resistance Council, 1996; Ministry of Water Lands and Environment, 2001; Lamprey and Mugisha, 2009; Namirimu, Buyinza </w:t>
            </w:r>
            <w:r w:rsidRPr="003E499A">
              <w:rPr>
                <w:rFonts w:ascii="Times New Roman" w:hAnsi="Times New Roman" w:cs="Times New Roman"/>
                <w:noProof/>
                <w:color w:val="000000" w:themeColor="text1"/>
                <w:sz w:val="18"/>
                <w:szCs w:val="18"/>
              </w:rPr>
              <w:lastRenderedPageBreak/>
              <w:t xml:space="preserve">and Nyadoi, 2012; Banana </w:t>
            </w:r>
            <w:r w:rsidRPr="003E499A">
              <w:rPr>
                <w:rFonts w:ascii="Times New Roman" w:hAnsi="Times New Roman" w:cs="Times New Roman"/>
                <w:i/>
                <w:noProof/>
                <w:color w:val="000000" w:themeColor="text1"/>
                <w:sz w:val="18"/>
                <w:szCs w:val="18"/>
              </w:rPr>
              <w:t>et al.</w:t>
            </w:r>
            <w:r w:rsidRPr="003E499A">
              <w:rPr>
                <w:rFonts w:ascii="Times New Roman" w:hAnsi="Times New Roman" w:cs="Times New Roman"/>
                <w:noProof/>
                <w:color w:val="000000" w:themeColor="text1"/>
                <w:sz w:val="18"/>
                <w:szCs w:val="18"/>
              </w:rPr>
              <w:t>, 2014; UWA, 2020)</w:t>
            </w:r>
            <w:r w:rsidRPr="003E499A">
              <w:rPr>
                <w:rFonts w:ascii="Times New Roman" w:hAnsi="Times New Roman" w:cs="Times New Roman"/>
                <w:color w:val="000000" w:themeColor="text1"/>
                <w:sz w:val="18"/>
                <w:szCs w:val="18"/>
              </w:rPr>
              <w:fldChar w:fldCharType="end"/>
            </w:r>
          </w:p>
        </w:tc>
      </w:tr>
      <w:tr w:rsidR="00E51D13" w:rsidRPr="003E499A" w:rsidTr="008F575F">
        <w:tc>
          <w:tcPr>
            <w:tcW w:w="46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lastRenderedPageBreak/>
              <w:t>4.</w:t>
            </w:r>
          </w:p>
        </w:tc>
        <w:tc>
          <w:tcPr>
            <w:tcW w:w="170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Uganda forest policy, 2001</w:t>
            </w:r>
          </w:p>
        </w:tc>
        <w:tc>
          <w:tcPr>
            <w:tcW w:w="2756" w:type="dxa"/>
            <w:tcBorders>
              <w:left w:val="nil"/>
              <w:right w:val="nil"/>
            </w:tcBorders>
          </w:tcPr>
          <w:p w:rsidR="00E51D13"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 xml:space="preserve">Had as primally goal to achieving an integrated forest sector that realizes sustainable growths in the social-economic and </w:t>
            </w:r>
            <w:r w:rsidR="00A80D8F">
              <w:rPr>
                <w:rFonts w:ascii="Times New Roman" w:hAnsi="Times New Roman" w:cs="Times New Roman"/>
                <w:color w:val="000000" w:themeColor="text1"/>
                <w:sz w:val="18"/>
                <w:szCs w:val="18"/>
              </w:rPr>
              <w:t xml:space="preserve">ecological advantages provided by trees and forests are experienced by all </w:t>
            </w:r>
            <w:r w:rsidR="00E51D13">
              <w:rPr>
                <w:rFonts w:ascii="Times New Roman" w:hAnsi="Times New Roman" w:cs="Times New Roman"/>
                <w:color w:val="000000" w:themeColor="text1"/>
                <w:sz w:val="18"/>
                <w:szCs w:val="18"/>
              </w:rPr>
              <w:t>Ugandan people, with special emphasis on the most vulnerable individuals.</w:t>
            </w:r>
            <w:r w:rsidR="0046423B">
              <w:rPr>
                <w:rFonts w:ascii="Times New Roman" w:hAnsi="Times New Roman" w:cs="Times New Roman"/>
                <w:color w:val="000000" w:themeColor="text1"/>
                <w:sz w:val="18"/>
                <w:szCs w:val="18"/>
              </w:rPr>
              <w:t xml:space="preserve"> </w:t>
            </w:r>
            <w:r w:rsidR="00E51D13" w:rsidRPr="00E51D13">
              <w:rPr>
                <w:rFonts w:ascii="Times New Roman" w:hAnsi="Times New Roman" w:cs="Times New Roman"/>
                <w:color w:val="000000" w:themeColor="text1"/>
                <w:sz w:val="18"/>
                <w:szCs w:val="18"/>
                <w:lang w:val="en-GB"/>
              </w:rPr>
              <w:t>The policy acknowledges the importance of maintaining forest coverage in order to protect biodiversity and deliver essential ecological functions. The forest policy has experienced numerous revisions since its initial introduction in 1929.</w:t>
            </w:r>
          </w:p>
        </w:tc>
        <w:tc>
          <w:tcPr>
            <w:tcW w:w="2313"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The policy does not elaborate on specific measures to address forest ecosystem management as a strategy to challenges related to declining biodiversity habitat</w:t>
            </w:r>
          </w:p>
        </w:tc>
        <w:tc>
          <w:tcPr>
            <w:tcW w:w="1787"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rPr>
              <w:instrText>ADDIN CSL_CITATION {"citationItems":[{"id":"ITEM-1","itemData":{"DOI":"10.1659/mrd.1092","ISSN":"02764741","abstract":"The livelihoods of most Ugandans intimately depend on the environment, both as a source of subsistence and as a basis for production. Environmental degradation in the country-which includes wetland encroachment and contamination of water resources-is critical: based on estimates, degradation costs represent an environmental debt of about US$ 1-4 billion today. Although the country's water resources are rich, severe water scarcity is predicted for the near future, particularly in more populated areas and in the more fragile arid and semiarid pastoral areas. The Ugandan government has formulated a number of policies to regulate land use and impacts on the environment. However, the alarming rate at which natural resources are being depleted shows that these laws and policies are not enforced effectively. Using both qualitative and quantitative research methods, the study presented here focused on water resources, assessing their status in 4 mountainous districts of Uganda and evaluating the effectiveness of government policies with regard to restoration and conservation of water catchments. The study revealed a glaring gap between the existence of laws and policies on the one hand, and the reality of implementation on the ground on the other-there is rapid depletion of water resources, and water scarcity has already led to conflicts. The paper calls for effective implementation of existing policies and laws without fear or favor and for increased budgetary allocations from the current 25.6 billion shillings (2006- 2007) to 34.45 billion or more, to accommodate funding for the execution of policies and laws. It also calls for meticulous review of the existing environmental policy regime with a view to tailoring, customizing, and localizing it for practical purposes. © 2009 by the authors.","author":[{"dropping-particle":"","family":"Rwakakamba","given":"Twesigye Morrison","non-dropping-particle":"","parse-names":false,"suffix":""}],"container-title":"Mountain Research and Development","id":"ITEM-1","issue":"2","issued":{"date-parts":[["2009"]]},"page":"121-127","title":"How effective are Uganda's environmental policies?","type":"article-journal","volume":"29"},"uris":["http://www.mendeley.com/documents/?uuid=f739a9a8-d0cc-42ec-9c5a-fc4fbaf4134e"]},{"id":"ITEM-2","itemData":{"ISBN":"9789970881093","abstract":"Photo Wild Asian Elephant (Elephas maximus) in Rakine Yoma Elephant Range NBSAP Myanmar i Sustainable development of a country significantly depends on biodiversity conservation, management and utilization in a sustainable manner. Biodiversity is largely viewed as a solution to problems, particularly to improve the welfare of the current and future generations. In this regard, we need to have a sound strategy and action plan to provide a comprehensive framework for the sustainability of biodiversity while meeting the development goals for the human society. This document, National Biodiversity Strategy and Action Plan – NBSAP, is the framework that takes us in the direction of achieving the sustainable development without being detrimental to biodiversity. Myanmar has been widely regarded as one of the biodiversity richest countries in the Asia and Pacific Region. However, biodiversity in our country has been dwindling for many years due to the lack of integrated efforts for the sound protection and management of biodiversity. Indeed, biodiversity is very special for our welfare since it is the major component of life supporting system. The protection and wise utilization of biodiversity is imperative to our nation as biodiversity provides the basic needs such as food, shelter, clothing, cosmetic, medicines, recreation and so on. Besides, the value of biodiversity became much higher than ever as regulating the stability of the climate entirely depends upon biodiversity. This document is a product of a long collaborative process by governmental organizations, academic institutions and non-governmental organizations. The development of this NBSAP has opened a new chapter in our country for practising effective protection, sustainable management and wise use of biodiversity. The sustainable development means more than just an economic progress of a country. It also consists of social and environmental aspects. It is crucial to attain the balance among these three aspects in order to ensure the sustainable development. In this regard, the NBSAP offers us opportunities to harmonize economic, social, and environmental aspects. With the great expectation on the sustainability of our biodiversity richness, I sincerely and earnestly urge all the segments of society to commit the effective implementation of the action plans prescribed in this NBSAP.","author":[{"dropping-particle":"","family":"NEMA","given":"","non-dropping-particle":"","parse-names":false,"suffix":""}],"id":"ITEM-2","issued":{"date-parts":[["2016"]]},"number-of-pages":"121","title":"National biodiversity strategy and action plan II (2015-2025)","type":"report"},"uris":["http://www.mendeley.com/documents/?uuid=2788686e-2c3b-4fe5-8eca-7db890211175"]},{"id":"ITEM-3","itemData":{"author":[{"dropping-particle":"","family":"Ministry of Water Lands and Environment","given":"","non-dropping-particle":"","parse-names":false,"suffix":""}],"container-title":"Republic of Uganda","id":"ITEM-3","issued":{"date-parts":[["2001"]]},"title":"The uganda forestry policy","type":"report"},"uris":["http://www.mendeley.com/documents/?uuid=806f2c94-5e04-45d7-8262-0da9eb032cd9"]},{"id":"ITEM-4","itemData":{"ISBN":"9786021504475","author":[{"dropping-particle":"","family":"Banana","given":"Abwoli Y","non-dropping-particle":"","parse-names":false,"suffix":""},{"dropping-particle":"","family":"Byakagaba","given":"Patrick","non-dropping-particle":"","parse-names":false,"suffix":""},{"dropping-particle":"","family":"Russell","given":"Aaron JM","non-dropping-particle":"","parse-names":false,"suffix":""},{"dropping-particle":"","family":"Waiswa","given":"Daniel","non-dropping-particle":"","parse-names":false,"suffix":""},{"dropping-particle":"","family":"Bomuhangi","given":"Allan","non-dropping-particle":"","parse-names":false,"suffix":""}],"id":"ITEM-4","issue":"December","issued":{"date-parts":[["2014"]]},"number-of-pages":"39","title":"A review of Uganda's national policies relevant to climate change adaptation and mitigation-Insights from Mount Elgon","type":"report"},"uris":["http://www.mendeley.com/documents/?uuid=e972cf0e-2519-4a1a-b359-a156b00085ce"]}],"mendeley":{"formattedCitation":"(Ministry of Water Lands and Environment, 2001; Rwakakamba, 2009; Banana &lt;i&gt;et al.&lt;/i&gt;, 2014; NEMA, 2016)","plainTextFormattedCitation":"(Ministry of Water Lands and Environment, 2001; Rwakakamba, 2009; Banana et al., 2014; NEMA, 2016)","previouslyFormattedCitation":"(Ministry of Water Lands and Environment, 2001; Rwakakamba, 2009; Banana &lt;i&gt;et al.&lt;/i&gt;, 2014; NEMA, 2016)"},"properties":{"noteIndex":0},"schema":"https://github.com/citation-style-language/schema/raw/master/csl-citation.json"}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rPr>
              <w:t xml:space="preserve">(Ministry of Water Lands and Environment, 2001; Rwakakamba, 2009; Banana </w:t>
            </w:r>
            <w:r w:rsidRPr="003E499A">
              <w:rPr>
                <w:rFonts w:ascii="Times New Roman" w:hAnsi="Times New Roman" w:cs="Times New Roman"/>
                <w:i/>
                <w:noProof/>
                <w:color w:val="000000" w:themeColor="text1"/>
                <w:sz w:val="18"/>
                <w:szCs w:val="18"/>
              </w:rPr>
              <w:t>et al.</w:t>
            </w:r>
            <w:r w:rsidRPr="003E499A">
              <w:rPr>
                <w:rFonts w:ascii="Times New Roman" w:hAnsi="Times New Roman" w:cs="Times New Roman"/>
                <w:noProof/>
                <w:color w:val="000000" w:themeColor="text1"/>
                <w:sz w:val="18"/>
                <w:szCs w:val="18"/>
              </w:rPr>
              <w:t>, 2014; NEMA, 2016)</w:t>
            </w:r>
            <w:r w:rsidRPr="003E499A">
              <w:rPr>
                <w:rFonts w:ascii="Times New Roman" w:hAnsi="Times New Roman" w:cs="Times New Roman"/>
                <w:color w:val="000000" w:themeColor="text1"/>
                <w:sz w:val="18"/>
                <w:szCs w:val="18"/>
              </w:rPr>
              <w:fldChar w:fldCharType="end"/>
            </w:r>
          </w:p>
        </w:tc>
      </w:tr>
      <w:tr w:rsidR="00E51D13" w:rsidRPr="003E499A" w:rsidTr="008F575F">
        <w:tc>
          <w:tcPr>
            <w:tcW w:w="46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5.</w:t>
            </w:r>
          </w:p>
        </w:tc>
        <w:tc>
          <w:tcPr>
            <w:tcW w:w="1705" w:type="dxa"/>
            <w:tcBorders>
              <w:left w:val="nil"/>
              <w:right w:val="nil"/>
            </w:tcBorders>
          </w:tcPr>
          <w:p w:rsidR="00F17E02" w:rsidRPr="00E51D13" w:rsidRDefault="00F17E02" w:rsidP="00D0319C">
            <w:pPr>
              <w:rPr>
                <w:rFonts w:ascii="Times New Roman" w:hAnsi="Times New Roman" w:cs="Times New Roman"/>
                <w:color w:val="000000" w:themeColor="text1"/>
                <w:sz w:val="18"/>
                <w:szCs w:val="18"/>
              </w:rPr>
            </w:pPr>
            <w:r w:rsidRPr="00E51D13">
              <w:rPr>
                <w:rFonts w:ascii="Times New Roman" w:hAnsi="Times New Roman" w:cs="Times New Roman"/>
                <w:color w:val="000000" w:themeColor="text1"/>
                <w:sz w:val="18"/>
                <w:szCs w:val="18"/>
              </w:rPr>
              <w:t>National Forestry and Tree planting Act</w:t>
            </w:r>
            <w:r w:rsidR="00E51D13" w:rsidRPr="00E51D13">
              <w:rPr>
                <w:rFonts w:ascii="Times New Roman" w:hAnsi="Times New Roman" w:cs="Times New Roman"/>
                <w:color w:val="000000" w:themeColor="text1"/>
                <w:sz w:val="18"/>
                <w:szCs w:val="18"/>
              </w:rPr>
              <w:t>,</w:t>
            </w:r>
            <w:r w:rsidRPr="00E51D13">
              <w:rPr>
                <w:rFonts w:ascii="Times New Roman" w:hAnsi="Times New Roman" w:cs="Times New Roman"/>
                <w:color w:val="000000" w:themeColor="text1"/>
                <w:sz w:val="18"/>
                <w:szCs w:val="18"/>
              </w:rPr>
              <w:t xml:space="preserve"> 2003</w:t>
            </w:r>
          </w:p>
        </w:tc>
        <w:tc>
          <w:tcPr>
            <w:tcW w:w="2756" w:type="dxa"/>
            <w:tcBorders>
              <w:left w:val="nil"/>
              <w:right w:val="nil"/>
            </w:tcBorders>
          </w:tcPr>
          <w:p w:rsidR="00E51D13" w:rsidRPr="007A022E" w:rsidRDefault="00E51D13" w:rsidP="00D0319C">
            <w:pPr>
              <w:rPr>
                <w:rFonts w:ascii="Times New Roman" w:hAnsi="Times New Roman" w:cs="Times New Roman"/>
                <w:color w:val="000000" w:themeColor="text1"/>
                <w:sz w:val="18"/>
                <w:szCs w:val="18"/>
                <w:highlight w:val="yellow"/>
              </w:rPr>
            </w:pPr>
            <w:r w:rsidRPr="00E51D13">
              <w:rPr>
                <w:rFonts w:ascii="Times New Roman" w:hAnsi="Times New Roman" w:cs="Times New Roman"/>
                <w:color w:val="000000" w:themeColor="text1"/>
                <w:sz w:val="18"/>
                <w:szCs w:val="18"/>
              </w:rPr>
              <w:t>Mandates an updated management strategy every five years for each forest reserve. The Act established the National Forestry Authority (NFA), a semi-independent entity tasked with overseeing central forest reserves.</w:t>
            </w:r>
          </w:p>
        </w:tc>
        <w:tc>
          <w:tcPr>
            <w:tcW w:w="2313"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Although the Act requires private forest owners to manage and use their forests sustainably, it does not set out sanctions for the offenders.</w:t>
            </w:r>
            <w:r w:rsidR="0046423B">
              <w:rPr>
                <w:rFonts w:ascii="Times New Roman" w:hAnsi="Times New Roman" w:cs="Times New Roman"/>
                <w:color w:val="000000" w:themeColor="text1"/>
                <w:sz w:val="18"/>
                <w:szCs w:val="18"/>
              </w:rPr>
              <w:t xml:space="preserve"> </w:t>
            </w:r>
            <w:r w:rsidRPr="003E499A">
              <w:rPr>
                <w:rFonts w:ascii="Times New Roman" w:hAnsi="Times New Roman" w:cs="Times New Roman"/>
                <w:color w:val="000000" w:themeColor="text1"/>
                <w:sz w:val="18"/>
                <w:szCs w:val="18"/>
              </w:rPr>
              <w:t>The policy recognizes drivers of forest depletion but it remains silent on strategies to address it.</w:t>
            </w:r>
          </w:p>
        </w:tc>
        <w:tc>
          <w:tcPr>
            <w:tcW w:w="1787"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rPr>
              <w:instrText>ADDIN CSL_CITATION {"citationItems":[{"id":"ITEM-1","itemData":{"author":[{"dropping-particle":"","family":"Namirimu","given":"Teddy","non-dropping-particle":"","parse-names":false,"suffix":""},{"dropping-particle":"","family":"Buyinza","given":"Joel","non-dropping-particle":"","parse-names":false,"suffix":""},{"dropping-particle":"","family":"Nyadoi","given":"Priscilla","non-dropping-particle":"","parse-names":false,"suffix":""}],"id":"ITEM-1","issue":"1","issued":{"date-parts":[["2012"]]},"number-of-pages":"1-9","title":"Uganda wildlife society policy dialogues 2012","type":"report"},"uris":["http://www.mendeley.com/documents/?uuid=d01b4318-7fe8-485d-8bf3-bc6221e7c58b"]},{"id":"ITEM-2","itemData":{"author":[{"dropping-particle":"","family":"UWA","given":"","non-dropping-particle":"","parse-names":false,"suffix":""}],"id":"ITEM-2","issued":{"date-parts":[["2020"]]},"number-of-pages":"6-12","title":"Uganda wildlife authority community conservation policy","type":"report"},"uris":["http://www.mendeley.com/documents/?uuid=36eec2ab-9ef9-4f05-b07c-0faf21994aca"]},{"id":"ITEM-3","itemData":{"DOI":"10.1659/mrd.1092","ISSN":"02764741","abstract":"The livelihoods of most Ugandans intimately depend on the environment, both as a source of subsistence and as a basis for production. Environmental degradation in the country-which includes wetland encroachment and contamination of water resources-is critical: based on estimates, degradation costs represent an environmental debt of about US$ 1-4 billion today. Although the country's water resources are rich, severe water scarcity is predicted for the near future, particularly in more populated areas and in the more fragile arid and semiarid pastoral areas. The Ugandan government has formulated a number of policies to regulate land use and impacts on the environment. However, the alarming rate at which natural resources are being depleted shows that these laws and policies are not enforced effectively. Using both qualitative and quantitative research methods, the study presented here focused on water resources, assessing their status in 4 mountainous districts of Uganda and evaluating the effectiveness of government policies with regard to restoration and conservation of water catchments. The study revealed a glaring gap between the existence of laws and policies on the one hand, and the reality of implementation on the ground on the other-there is rapid depletion of water resources, and water scarcity has already led to conflicts. The paper calls for effective implementation of existing policies and laws without fear or favor and for increased budgetary allocations from the current 25.6 billion shillings (2006- 2007) to 34.45 billion or more, to accommodate funding for the execution of policies and laws. It also calls for meticulous review of the existing environmental policy regime with a view to tailoring, customizing, and localizing it for practical purposes. © 2009 by the authors.","author":[{"dropping-particle":"","family":"Rwakakamba","given":"Twesigye Morrison","non-dropping-particle":"","parse-names":false,"suffix":""}],"container-title":"Mountain Research and Development","id":"ITEM-3","issue":"2","issued":{"date-parts":[["2009"]]},"page":"121-127","title":"How effective are Uganda's environmental policies?","type":"article-journal","volume":"29"},"uris":["http://www.mendeley.com/documents/?uuid=f739a9a8-d0cc-42ec-9c5a-fc4fbaf4134e"]},{"id":"ITEM-4","itemData":{"ISBN":"9789970881093","abstract":"Photo Wild Asian Elephant (Elephas maximus) in Rakine Yoma Elephant Range NBSAP Myanmar i Sustainable development of a country significantly depends on biodiversity conservation, management and utilization in a sustainable manner. Biodiversity is largely viewed as a solution to problems, particularly to improve the welfare of the current and future generations. In this regard, we need to have a sound strategy and action plan to provide a comprehensive framework for the sustainability of biodiversity while meeting the development goals for the human society. This document, National Biodiversity Strategy and Action Plan – NBSAP, is the framework that takes us in the direction of achieving the sustainable development without being detrimental to biodiversity. Myanmar has been widely regarded as one of the biodiversity richest countries in the Asia and Pacific Region. However, biodiversity in our country has been dwindling for many years due to the lack of integrated efforts for the sound protection and management of biodiversity. Indeed, biodiversity is very special for our welfare since it is the major component of life supporting system. The protection and wise utilization of biodiversity is imperative to our nation as biodiversity provides the basic needs such as food, shelter, clothing, cosmetic, medicines, recreation and so on. Besides, the value of biodiversity became much higher than ever as regulating the stability of the climate entirely depends upon biodiversity. This document is a product of a long collaborative process by governmental organizations, academic institutions and non-governmental organizations. The development of this NBSAP has opened a new chapter in our country for practising effective protection, sustainable management and wise use of biodiversity. The sustainable development means more than just an economic progress of a country. It also consists of social and environmental aspects. It is crucial to attain the balance among these three aspects in order to ensure the sustainable development. In this regard, the NBSAP offers us opportunities to harmonize economic, social, and environmental aspects. With the great expectation on the sustainability of our biodiversity richness, I sincerely and earnestly urge all the segments of society to commit the effective implementation of the action plans prescribed in this NBSAP.","author":[{"dropping-particle":"","family":"NEMA","given":"","non-dropping-particle":"","parse-names":false,"suffix":""}],"id":"ITEM-4","issued":{"date-parts":[["2016"]]},"number-of-pages":"121","title":"National biodiversity strategy and action plan II (2015-2025)","type":"report"},"uris":["http://www.mendeley.com/documents/?uuid=2788686e-2c3b-4fe5-8eca-7db890211175"]},{"id":"ITEM-5","itemData":{"ISBN":"9786021504475","author":[{"dropping-particle":"","family":"Banana","given":"Abwoli Y","non-dropping-particle":"","parse-names":false,"suffix":""},{"dropping-particle":"","family":"Byakagaba","given":"Patrick","non-dropping-particle":"","parse-names":false,"suffix":""},{"dropping-particle":"","family":"Russell","given":"Aaron JM","non-dropping-particle":"","parse-names":false,"suffix":""},{"dropping-particle":"","family":"Waiswa","given":"Daniel","non-dropping-particle":"","parse-names":false,"suffix":""},{"dropping-particle":"","family":"Bomuhangi","given":"Allan","non-dropping-particle":"","parse-names":false,"suffix":""}],"id":"ITEM-5","issue":"December","issued":{"date-parts":[["2014"]]},"number-of-pages":"39","title":"A review of Uganda's national policies relevant to climate change adaptation and mitigation-Insights from Mount Elgon","type":"report"},"uris":["http://www.mendeley.com/documents/?uuid=e972cf0e-2519-4a1a-b359-a156b00085ce"]}],"mendeley":{"formattedCitation":"(Rwakakamba, 2009; Namirimu, Buyinza and Nyadoi, 2012; Banana &lt;i&gt;et al.&lt;/i&gt;, 2014; NEMA, 2016; UWA, 2020)","plainTextFormattedCitation":"(Rwakakamba, 2009; Namirimu, Buyinza and Nyadoi, 2012; Banana et al., 2014; NEMA, 2016; UWA, 2020)","previouslyFormattedCitation":"(Rwakakamba, 2009; Namirimu, Buyinza and Nyadoi, 2012; Banana &lt;i&gt;et al.&lt;/i&gt;, 2014; NEMA, 2016; UWA, 2020)"},"properties":{"noteIndex":0},"schema":"https://github.com/citation-style-language/schema/raw/master/csl-citation.json"}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rPr>
              <w:t xml:space="preserve">(Rwakakamba, 2009; Namirimu, Buyinza and Nyadoi, 2012; Banana </w:t>
            </w:r>
            <w:r w:rsidRPr="003E499A">
              <w:rPr>
                <w:rFonts w:ascii="Times New Roman" w:hAnsi="Times New Roman" w:cs="Times New Roman"/>
                <w:i/>
                <w:noProof/>
                <w:color w:val="000000" w:themeColor="text1"/>
                <w:sz w:val="18"/>
                <w:szCs w:val="18"/>
              </w:rPr>
              <w:t>et al.</w:t>
            </w:r>
            <w:r w:rsidRPr="003E499A">
              <w:rPr>
                <w:rFonts w:ascii="Times New Roman" w:hAnsi="Times New Roman" w:cs="Times New Roman"/>
                <w:noProof/>
                <w:color w:val="000000" w:themeColor="text1"/>
                <w:sz w:val="18"/>
                <w:szCs w:val="18"/>
              </w:rPr>
              <w:t>, 2014; NEMA, 2016; UWA, 2020)</w:t>
            </w:r>
            <w:r w:rsidRPr="003E499A">
              <w:rPr>
                <w:rFonts w:ascii="Times New Roman" w:hAnsi="Times New Roman" w:cs="Times New Roman"/>
                <w:color w:val="000000" w:themeColor="text1"/>
                <w:sz w:val="18"/>
                <w:szCs w:val="18"/>
              </w:rPr>
              <w:fldChar w:fldCharType="end"/>
            </w:r>
          </w:p>
        </w:tc>
      </w:tr>
      <w:tr w:rsidR="00E51D13" w:rsidRPr="003E499A" w:rsidTr="008F575F">
        <w:tc>
          <w:tcPr>
            <w:tcW w:w="46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6.</w:t>
            </w:r>
          </w:p>
        </w:tc>
        <w:tc>
          <w:tcPr>
            <w:tcW w:w="170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The National Fisheries Policy</w:t>
            </w:r>
            <w:r w:rsidR="00E51D13">
              <w:rPr>
                <w:rFonts w:ascii="Times New Roman" w:hAnsi="Times New Roman" w:cs="Times New Roman"/>
                <w:color w:val="000000" w:themeColor="text1"/>
                <w:sz w:val="18"/>
                <w:szCs w:val="18"/>
              </w:rPr>
              <w:t>,</w:t>
            </w:r>
            <w:r w:rsidRPr="003E499A">
              <w:rPr>
                <w:rFonts w:ascii="Times New Roman" w:hAnsi="Times New Roman" w:cs="Times New Roman"/>
                <w:color w:val="000000" w:themeColor="text1"/>
                <w:sz w:val="18"/>
                <w:szCs w:val="18"/>
              </w:rPr>
              <w:t xml:space="preserve"> 2004</w:t>
            </w:r>
          </w:p>
        </w:tc>
        <w:tc>
          <w:tcPr>
            <w:tcW w:w="2756"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Instruct local government and local community institutions to regulate fisheries resources in their jurisdiction, etc.</w:t>
            </w:r>
          </w:p>
        </w:tc>
        <w:tc>
          <w:tcPr>
            <w:tcW w:w="2313"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Institutions mandated to control fisheries resources lack technical expertise required to efficiently perform that duty.</w:t>
            </w:r>
          </w:p>
        </w:tc>
        <w:tc>
          <w:tcPr>
            <w:tcW w:w="1787"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rPr>
              <w:instrText>ADDIN CSL_CITATION {"citationItems":[{"id":"ITEM-1","itemData":{"author":[{"dropping-particle":"","family":"Namirimu","given":"Teddy","non-dropping-particle":"","parse-names":false,"suffix":""},{"dropping-particle":"","family":"Buyinza","given":"Joel","non-dropping-particle":"","parse-names":false,"suffix":""},{"dropping-particle":"","family":"Nyadoi","given":"Priscilla","non-dropping-particle":"","parse-names":false,"suffix":""}],"id":"ITEM-1","issue":"1","issued":{"date-parts":[["2012"]]},"number-of-pages":"1-9","title":"Uganda wildlife society policy dialogues 2012","type":"report"},"uris":["http://www.mendeley.com/documents/?uuid=d01b4318-7fe8-485d-8bf3-bc6221e7c58b"]}],"mendeley":{"formattedCitation":"(Namirimu, Buyinza and Nyadoi, 2012)","plainTextFormattedCitation":"(Namirimu, Buyinza and Nyadoi, 2012)","previouslyFormattedCitation":"(Namirimu, Buyinza and Nyadoi, 2012)"},"properties":{"noteIndex":0},"schema":"https://github.com/citation-style-language/schema/raw/master/csl-citation.json"}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rPr>
              <w:t>(Namirimu, Buyinza and Nyadoi, 2012)</w:t>
            </w:r>
            <w:r w:rsidRPr="003E499A">
              <w:rPr>
                <w:rFonts w:ascii="Times New Roman" w:hAnsi="Times New Roman" w:cs="Times New Roman"/>
                <w:color w:val="000000" w:themeColor="text1"/>
                <w:sz w:val="18"/>
                <w:szCs w:val="18"/>
              </w:rPr>
              <w:fldChar w:fldCharType="end"/>
            </w:r>
          </w:p>
        </w:tc>
      </w:tr>
      <w:tr w:rsidR="00E51D13" w:rsidRPr="003E499A" w:rsidTr="008F575F">
        <w:tc>
          <w:tcPr>
            <w:tcW w:w="46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7.</w:t>
            </w:r>
          </w:p>
        </w:tc>
        <w:tc>
          <w:tcPr>
            <w:tcW w:w="1705" w:type="dxa"/>
            <w:tcBorders>
              <w:left w:val="nil"/>
              <w:right w:val="nil"/>
            </w:tcBorders>
          </w:tcPr>
          <w:p w:rsidR="00F17E02" w:rsidRPr="007A022E" w:rsidRDefault="00F17E02" w:rsidP="00D0319C">
            <w:pPr>
              <w:rPr>
                <w:rFonts w:ascii="Times New Roman" w:hAnsi="Times New Roman" w:cs="Times New Roman"/>
                <w:color w:val="000000" w:themeColor="text1"/>
                <w:sz w:val="18"/>
                <w:szCs w:val="18"/>
                <w:highlight w:val="yellow"/>
              </w:rPr>
            </w:pPr>
            <w:r w:rsidRPr="00E51D13">
              <w:rPr>
                <w:rFonts w:ascii="Times New Roman" w:hAnsi="Times New Roman" w:cs="Times New Roman"/>
                <w:color w:val="000000" w:themeColor="text1"/>
                <w:sz w:val="18"/>
                <w:szCs w:val="18"/>
              </w:rPr>
              <w:t>Community Conservation Institutional Policy, 2004</w:t>
            </w:r>
          </w:p>
        </w:tc>
        <w:tc>
          <w:tcPr>
            <w:tcW w:w="2756" w:type="dxa"/>
            <w:tcBorders>
              <w:left w:val="nil"/>
              <w:right w:val="nil"/>
            </w:tcBorders>
          </w:tcPr>
          <w:p w:rsidR="00C01A23" w:rsidRPr="007A022E" w:rsidRDefault="00C01A23" w:rsidP="00D0319C">
            <w:pPr>
              <w:rPr>
                <w:rFonts w:ascii="Times New Roman" w:hAnsi="Times New Roman" w:cs="Times New Roman"/>
                <w:color w:val="000000" w:themeColor="text1"/>
                <w:sz w:val="18"/>
                <w:szCs w:val="18"/>
                <w:highlight w:val="yellow"/>
              </w:rPr>
            </w:pPr>
            <w:r w:rsidRPr="00C01A23">
              <w:rPr>
                <w:rFonts w:ascii="Times New Roman" w:hAnsi="Times New Roman" w:cs="Times New Roman"/>
                <w:color w:val="000000" w:themeColor="text1"/>
                <w:sz w:val="18"/>
                <w:szCs w:val="18"/>
              </w:rPr>
              <w:t xml:space="preserve">The policy emphasizes various measures such as resource accessibility from </w:t>
            </w:r>
            <w:r w:rsidR="00ED07AB">
              <w:rPr>
                <w:rFonts w:ascii="Times New Roman" w:hAnsi="Times New Roman" w:cs="Times New Roman"/>
                <w:color w:val="000000" w:themeColor="text1"/>
                <w:sz w:val="18"/>
                <w:szCs w:val="18"/>
              </w:rPr>
              <w:t>PA</w:t>
            </w:r>
            <w:r w:rsidRPr="00C01A23">
              <w:rPr>
                <w:rFonts w:ascii="Times New Roman" w:hAnsi="Times New Roman" w:cs="Times New Roman"/>
                <w:color w:val="000000" w:themeColor="text1"/>
                <w:sz w:val="18"/>
                <w:szCs w:val="18"/>
              </w:rPr>
              <w:t>s, a revenue distribution system, addressing and managing human-wildlife conflicts, fostering wildlife-centric businesses, and associated initiatives that could enhance both conservation efforts and the well-being of the community.</w:t>
            </w:r>
          </w:p>
        </w:tc>
        <w:tc>
          <w:tcPr>
            <w:tcW w:w="2313"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Was not well aligned with other existing laws and policies. Worse, it has ignored the contribution of community conservation teams to combat wildlife crimes.</w:t>
            </w:r>
          </w:p>
        </w:tc>
        <w:tc>
          <w:tcPr>
            <w:tcW w:w="1787"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rPr>
              <w:instrText>ADDIN CSL_CITATION {"citationItems":[{"id":"ITEM-1","itemData":{"author":[{"dropping-particle":"","family":"UWA","given":"","non-dropping-particle":"","parse-names":false,"suffix":""}],"id":"ITEM-1","issued":{"date-parts":[["2020"]]},"number-of-pages":"6-12","title":"Uganda wildlife authority community conservation policy","type":"report"},"uris":["http://www.mendeley.com/documents/?uuid=36eec2ab-9ef9-4f05-b07c-0faf21994aca"]}],"mendeley":{"formattedCitation":"(UWA, 2020)","plainTextFormattedCitation":"(UWA, 2020)","previouslyFormattedCitation":"(UWA, 2020)"},"properties":{"noteIndex":0},"schema":"https://github.com/citation-style-language/schema/raw/master/csl-citation.json"}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rPr>
              <w:t>(UWA, 2020)</w:t>
            </w:r>
            <w:r w:rsidRPr="003E499A">
              <w:rPr>
                <w:rFonts w:ascii="Times New Roman" w:hAnsi="Times New Roman" w:cs="Times New Roman"/>
                <w:color w:val="000000" w:themeColor="text1"/>
                <w:sz w:val="18"/>
                <w:szCs w:val="18"/>
              </w:rPr>
              <w:fldChar w:fldCharType="end"/>
            </w:r>
          </w:p>
        </w:tc>
      </w:tr>
      <w:tr w:rsidR="00E51D13" w:rsidRPr="003E499A" w:rsidTr="008F575F">
        <w:tc>
          <w:tcPr>
            <w:tcW w:w="46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8.</w:t>
            </w:r>
          </w:p>
        </w:tc>
        <w:tc>
          <w:tcPr>
            <w:tcW w:w="170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National Wildlife Policy, 2014</w:t>
            </w:r>
          </w:p>
        </w:tc>
        <w:tc>
          <w:tcPr>
            <w:tcW w:w="2756"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Mandates UWA to promote public awareness of wildlife conservation and management.</w:t>
            </w:r>
          </w:p>
        </w:tc>
        <w:tc>
          <w:tcPr>
            <w:tcW w:w="2313"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p>
        </w:tc>
        <w:tc>
          <w:tcPr>
            <w:tcW w:w="1787"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rPr>
              <w:instrText>ADDIN CSL_CITATION {"citationItems":[{"id":"ITEM-1","itemData":{"author":[{"dropping-particle":"","family":"UWA","given":"","non-dropping-particle":"","parse-names":false,"suffix":""}],"id":"ITEM-1","issued":{"date-parts":[["2020"]]},"number-of-pages":"6-12","title":"Uganda wildlife authority community conservation policy","type":"report"},"uris":["http://www.mendeley.com/documents/?uuid=36eec2ab-9ef9-4f05-b07c-0faf21994aca"]}],"mendeley":{"formattedCitation":"(UWA, 2020)","plainTextFormattedCitation":"(UWA, 2020)","previouslyFormattedCitation":"(UWA, 2020)"},"properties":{"noteIndex":0},"schema":"https://github.com/citation-style-language/schema/raw/master/csl-citation.json"}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rPr>
              <w:t>(UWA, 2020)</w:t>
            </w:r>
            <w:r w:rsidRPr="003E499A">
              <w:rPr>
                <w:rFonts w:ascii="Times New Roman" w:hAnsi="Times New Roman" w:cs="Times New Roman"/>
                <w:color w:val="000000" w:themeColor="text1"/>
                <w:sz w:val="18"/>
                <w:szCs w:val="18"/>
              </w:rPr>
              <w:fldChar w:fldCharType="end"/>
            </w:r>
          </w:p>
        </w:tc>
      </w:tr>
      <w:tr w:rsidR="00E51D13" w:rsidRPr="003E499A" w:rsidTr="008F575F">
        <w:tc>
          <w:tcPr>
            <w:tcW w:w="46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9.</w:t>
            </w:r>
          </w:p>
        </w:tc>
        <w:tc>
          <w:tcPr>
            <w:tcW w:w="170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National Biodiversity strategy and action plan II (2015-2025)</w:t>
            </w:r>
          </w:p>
        </w:tc>
        <w:tc>
          <w:tcPr>
            <w:tcW w:w="2756"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It is the major instrument for implementing the Convention on Biological Diversity in Uganda. It provides a framework for the implementation of its CBD obligations,</w:t>
            </w:r>
            <w:r w:rsidR="0046423B">
              <w:rPr>
                <w:rFonts w:ascii="Times New Roman" w:hAnsi="Times New Roman" w:cs="Times New Roman"/>
                <w:color w:val="000000" w:themeColor="text1"/>
                <w:sz w:val="18"/>
                <w:szCs w:val="18"/>
              </w:rPr>
              <w:t xml:space="preserve"> </w:t>
            </w:r>
            <w:r w:rsidRPr="003E499A">
              <w:rPr>
                <w:rFonts w:ascii="Times New Roman" w:hAnsi="Times New Roman" w:cs="Times New Roman"/>
                <w:color w:val="000000" w:themeColor="text1"/>
                <w:sz w:val="18"/>
                <w:szCs w:val="18"/>
              </w:rPr>
              <w:t>Channeling of investments, and capacity building for sustainable conservation.</w:t>
            </w:r>
          </w:p>
        </w:tc>
        <w:tc>
          <w:tcPr>
            <w:tcW w:w="2313"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The strategy is not up to the recently emerged challenges related to oil and gas exploration (pollution to downstream communities, soil and water contamination by drill wastes and oil spills, air emissions due to combustion, soil erosion due to vegetation clearance, etc.). The implementation of the strategy requires a lot of capacity building in the form of technical and logistic support to local communities of which the involvement is indispensable to the successful implementation of the strategy.</w:t>
            </w:r>
          </w:p>
        </w:tc>
        <w:tc>
          <w:tcPr>
            <w:tcW w:w="1787"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rPr>
              <w:instrText>ADDIN CSL_CITATION {"citationItems":[{"id":"ITEM-1","itemData":{"ISBN":"9789970881093","abstract":"Photo Wild Asian Elephant (Elephas maximus) in Rakine Yoma Elephant Range NBSAP Myanmar i Sustainable development of a country significantly depends on biodiversity conservation, management and utilization in a sustainable manner. Biodiversity is largely viewed as a solution to problems, particularly to improve the welfare of the current and future generations. In this regard, we need to have a sound strategy and action plan to provide a comprehensive framework for the sustainability of biodiversity while meeting the development goals for the human society. This document, National Biodiversity Strategy and Action Plan – NBSAP, is the framework that takes us in the direction of achieving the sustainable development without being detrimental to biodiversity. Myanmar has been widely regarded as one of the biodiversity richest countries in the Asia and Pacific Region. However, biodiversity in our country has been dwindling for many years due to the lack of integrated efforts for the sound protection and management of biodiversity. Indeed, biodiversity is very special for our welfare since it is the major component of life supporting system. The protection and wise utilization of biodiversity is imperative to our nation as biodiversity provides the basic needs such as food, shelter, clothing, cosmetic, medicines, recreation and so on. Besides, the value of biodiversity became much higher than ever as regulating the stability of the climate entirely depends upon biodiversity. This document is a product of a long collaborative process by governmental organizations, academic institutions and non-governmental organizations. The development of this NBSAP has opened a new chapter in our country for practising effective protection, sustainable management and wise use of biodiversity. The sustainable development means more than just an economic progress of a country. It also consists of social and environmental aspects. It is crucial to attain the balance among these three aspects in order to ensure the sustainable development. In this regard, the NBSAP offers us opportunities to harmonize economic, social, and environmental aspects. With the great expectation on the sustainability of our biodiversity richness, I sincerely and earnestly urge all the segments of society to commit the effective implementation of the action plans prescribed in this NBSAP.","author":[{"dropping-particle":"","family":"NEMA","given":"","non-dropping-particle":"","parse-names":false,"suffix":""}],"id":"ITEM-1","issued":{"date-parts":[["2016"]]},"number-of-pages":"121","title":"National biodiversity strategy and action plan II (2015-2025)","type":"report"},"uris":["http://www.mendeley.com/documents/?uuid=2788686e-2c3b-4fe5-8eca-7db890211175"]}],"mendeley":{"formattedCitation":"(NEMA, 2016)","plainTextFormattedCitation":"(NEMA, 2016)","previouslyFormattedCitation":"(NEMA, 2016)"},"properties":{"noteIndex":0},"schema":"https://github.com/citation-style-language/schema/raw/master/csl-citation.json"}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rPr>
              <w:t>(NEMA, 2016)</w:t>
            </w:r>
            <w:r w:rsidRPr="003E499A">
              <w:rPr>
                <w:rFonts w:ascii="Times New Roman" w:hAnsi="Times New Roman" w:cs="Times New Roman"/>
                <w:color w:val="000000" w:themeColor="text1"/>
                <w:sz w:val="18"/>
                <w:szCs w:val="18"/>
              </w:rPr>
              <w:fldChar w:fldCharType="end"/>
            </w:r>
          </w:p>
        </w:tc>
      </w:tr>
      <w:tr w:rsidR="00E51D13" w:rsidRPr="003E499A" w:rsidTr="008F575F">
        <w:tc>
          <w:tcPr>
            <w:tcW w:w="46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lastRenderedPageBreak/>
              <w:t>10.</w:t>
            </w:r>
          </w:p>
        </w:tc>
        <w:tc>
          <w:tcPr>
            <w:tcW w:w="170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7A138D">
              <w:rPr>
                <w:rFonts w:ascii="Times New Roman" w:hAnsi="Times New Roman" w:cs="Times New Roman"/>
                <w:color w:val="000000" w:themeColor="text1"/>
                <w:sz w:val="18"/>
                <w:szCs w:val="18"/>
              </w:rPr>
              <w:t>Uganda Wildlife Act</w:t>
            </w:r>
            <w:r w:rsidR="007A138D" w:rsidRPr="007A138D">
              <w:rPr>
                <w:rFonts w:ascii="Times New Roman" w:hAnsi="Times New Roman" w:cs="Times New Roman"/>
                <w:color w:val="000000" w:themeColor="text1"/>
                <w:sz w:val="18"/>
                <w:szCs w:val="18"/>
              </w:rPr>
              <w:t>,</w:t>
            </w:r>
            <w:r w:rsidRPr="007A138D">
              <w:rPr>
                <w:rFonts w:ascii="Times New Roman" w:hAnsi="Times New Roman" w:cs="Times New Roman"/>
                <w:color w:val="000000" w:themeColor="text1"/>
                <w:sz w:val="18"/>
                <w:szCs w:val="18"/>
              </w:rPr>
              <w:t xml:space="preserve"> 2019</w:t>
            </w:r>
          </w:p>
        </w:tc>
        <w:tc>
          <w:tcPr>
            <w:tcW w:w="2756" w:type="dxa"/>
            <w:tcBorders>
              <w:left w:val="nil"/>
              <w:right w:val="nil"/>
            </w:tcBorders>
          </w:tcPr>
          <w:p w:rsidR="00F17E02" w:rsidRPr="007A138D" w:rsidRDefault="00F17E02" w:rsidP="00D0319C">
            <w:pPr>
              <w:rPr>
                <w:rFonts w:ascii="Times New Roman" w:hAnsi="Times New Roman" w:cs="Times New Roman"/>
                <w:color w:val="000000" w:themeColor="text1"/>
                <w:sz w:val="18"/>
                <w:szCs w:val="18"/>
              </w:rPr>
            </w:pPr>
            <w:r w:rsidRPr="007A138D">
              <w:rPr>
                <w:rFonts w:ascii="Times New Roman" w:hAnsi="Times New Roman" w:cs="Times New Roman"/>
                <w:color w:val="000000" w:themeColor="text1"/>
                <w:sz w:val="18"/>
                <w:szCs w:val="18"/>
              </w:rPr>
              <w:t xml:space="preserve">The Act </w:t>
            </w:r>
            <w:r w:rsidR="007A138D" w:rsidRPr="007A138D">
              <w:rPr>
                <w:rFonts w:ascii="Times New Roman" w:hAnsi="Times New Roman" w:cs="Times New Roman"/>
                <w:color w:val="000000" w:themeColor="text1"/>
                <w:sz w:val="18"/>
                <w:szCs w:val="18"/>
                <w:lang w:val="en-GB"/>
              </w:rPr>
              <w:t xml:space="preserve">ensures </w:t>
            </w:r>
            <w:r w:rsidRPr="007A138D">
              <w:rPr>
                <w:rFonts w:ascii="Times New Roman" w:hAnsi="Times New Roman" w:cs="Times New Roman"/>
                <w:color w:val="000000" w:themeColor="text1"/>
                <w:sz w:val="18"/>
                <w:szCs w:val="18"/>
              </w:rPr>
              <w:t>sustainable</w:t>
            </w:r>
            <w:r w:rsidR="007A138D" w:rsidRPr="007A138D">
              <w:rPr>
                <w:rFonts w:ascii="Times New Roman" w:hAnsi="Times New Roman" w:cs="Times New Roman"/>
                <w:color w:val="000000" w:themeColor="text1"/>
                <w:sz w:val="18"/>
                <w:szCs w:val="18"/>
              </w:rPr>
              <w:t xml:space="preserve"> wildlife</w:t>
            </w:r>
            <w:r w:rsidRPr="007A138D">
              <w:rPr>
                <w:rFonts w:ascii="Times New Roman" w:hAnsi="Times New Roman" w:cs="Times New Roman"/>
                <w:color w:val="000000" w:themeColor="text1"/>
                <w:sz w:val="18"/>
                <w:szCs w:val="18"/>
              </w:rPr>
              <w:t xml:space="preserve"> management </w:t>
            </w:r>
            <w:r w:rsidR="007A138D" w:rsidRPr="007A138D">
              <w:rPr>
                <w:rFonts w:ascii="Times New Roman" w:hAnsi="Times New Roman" w:cs="Times New Roman"/>
                <w:color w:val="000000" w:themeColor="text1"/>
                <w:sz w:val="18"/>
                <w:szCs w:val="18"/>
              </w:rPr>
              <w:t>and unifies legislation pertaining to the oversight of wildlife.</w:t>
            </w:r>
            <w:r w:rsidRPr="007A138D">
              <w:rPr>
                <w:rFonts w:ascii="Times New Roman" w:hAnsi="Times New Roman" w:cs="Times New Roman"/>
                <w:color w:val="000000" w:themeColor="text1"/>
                <w:sz w:val="18"/>
                <w:szCs w:val="18"/>
              </w:rPr>
              <w:t xml:space="preserve"> </w:t>
            </w:r>
            <w:r w:rsidR="007A138D" w:rsidRPr="007A138D">
              <w:rPr>
                <w:rFonts w:ascii="Times New Roman" w:hAnsi="Times New Roman" w:cs="Times New Roman"/>
                <w:color w:val="000000" w:themeColor="text1"/>
                <w:sz w:val="18"/>
                <w:szCs w:val="18"/>
              </w:rPr>
              <w:t xml:space="preserve">It </w:t>
            </w:r>
            <w:r w:rsidRPr="007A138D">
              <w:rPr>
                <w:rFonts w:ascii="Times New Roman" w:hAnsi="Times New Roman" w:cs="Times New Roman"/>
                <w:color w:val="000000" w:themeColor="text1"/>
                <w:sz w:val="18"/>
                <w:szCs w:val="18"/>
              </w:rPr>
              <w:t>streamlines the roles and responsibilities of the institution tasked for coordinating, monitoring, and supervising all matters connected to wildlife conservation management. The act mandates UWA to manage the country’s wildlife resources in and out PAs. It has repealed the 1996 Act.</w:t>
            </w:r>
          </w:p>
        </w:tc>
        <w:tc>
          <w:tcPr>
            <w:tcW w:w="2313"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p>
        </w:tc>
        <w:tc>
          <w:tcPr>
            <w:tcW w:w="1787"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rPr>
              <w:instrText>ADDIN CSL_CITATION {"citationItems":[{"id":"ITEM-1","itemData":{"author":[{"dropping-particle":"","family":"UWA","given":"","non-dropping-particle":"","parse-names":false,"suffix":""}],"id":"ITEM-1","issued":{"date-parts":[["2020"]]},"number-of-pages":"6-12","title":"Uganda wildlife authority community conservation policy","type":"report"},"uris":["http://www.mendeley.com/documents/?uuid=36eec2ab-9ef9-4f05-b07c-0faf21994aca"]},{"id":"ITEM-2","itemData":{"author":[{"dropping-particle":"","family":"Parliament of Uganda","given":"","non-dropping-particle":"","parse-names":false,"suffix":""}],"container-title":"The Uganda Gazette No. 49, Volume CXII, dated 27th September, 2019","id":"ITEM-2","issue":"10","issued":{"date-parts":[["2019"]]},"page":"1-99","title":"Uganda wildlife act","type":"article-journal","volume":"CXII"},"uris":["http://www.mendeley.com/documents/?uuid=89eb7d22-1890-4881-8576-5d4865a6f4a1"]}],"mendeley":{"formattedCitation":"(Parliament of Uganda, 2019; UWA, 2020)","plainTextFormattedCitation":"(Parliament of Uganda, 2019; UWA, 2020)","previouslyFormattedCitation":"(Parliament of Uganda, 2019; UWA, 2020)"},"properties":{"noteIndex":0},"schema":"https://github.com/citation-style-language/schema/raw/master/csl-citation.json"}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rPr>
              <w:t>(Parliament of Uganda, 2019; UWA, 2020)</w:t>
            </w:r>
            <w:r w:rsidRPr="003E499A">
              <w:rPr>
                <w:rFonts w:ascii="Times New Roman" w:hAnsi="Times New Roman" w:cs="Times New Roman"/>
                <w:color w:val="000000" w:themeColor="text1"/>
                <w:sz w:val="18"/>
                <w:szCs w:val="18"/>
              </w:rPr>
              <w:fldChar w:fldCharType="end"/>
            </w:r>
          </w:p>
        </w:tc>
      </w:tr>
      <w:tr w:rsidR="00E51D13" w:rsidRPr="003E499A" w:rsidTr="008F575F">
        <w:tc>
          <w:tcPr>
            <w:tcW w:w="46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11.</w:t>
            </w:r>
          </w:p>
        </w:tc>
        <w:tc>
          <w:tcPr>
            <w:tcW w:w="170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The National Environment Act, 2019</w:t>
            </w:r>
          </w:p>
        </w:tc>
        <w:tc>
          <w:tcPr>
            <w:tcW w:w="2756"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Is the umbrella framework that promotes sustainable management of the environment through the restoration, protection, and sustainable use of wildlife resources and equitable sharing of benefits that arise from biodiversity conservation. The Act has streamlined the provisions of previous policies particularly the National Environment Policy 199</w:t>
            </w:r>
            <w:r>
              <w:rPr>
                <w:rFonts w:ascii="Times New Roman" w:hAnsi="Times New Roman" w:cs="Times New Roman"/>
                <w:color w:val="000000" w:themeColor="text1"/>
                <w:sz w:val="18"/>
                <w:szCs w:val="18"/>
              </w:rPr>
              <w:t>4</w:t>
            </w:r>
          </w:p>
        </w:tc>
        <w:tc>
          <w:tcPr>
            <w:tcW w:w="2313"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Most of the strategies laid out in the policy are only geared towards strengthening the responsible agencies.</w:t>
            </w:r>
          </w:p>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The policy does not allocate enough space for civil society organizations to be at the forefront in the management of the country’s forest resources.</w:t>
            </w:r>
          </w:p>
        </w:tc>
        <w:tc>
          <w:tcPr>
            <w:tcW w:w="1787"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rPr>
              <w:instrText>ADDIN CSL_CITATION {"citationItems":[{"id":"ITEM-1","itemData":{"author":[{"dropping-particle":"","family":"Parliament of Uganda","given":"","non-dropping-particle":"","parse-names":false,"suffix":""}],"container-title":"The Uganda Gazette No. 49, Volume CXII, dated 27th September, 2019","id":"ITEM-1","issue":"10","issued":{"date-parts":[["2019"]]},"page":"1-99","title":"Uganda wildlife act","type":"article-journal","volume":"CXII"},"uris":["http://www.mendeley.com/documents/?uuid=89eb7d22-1890-4881-8576-5d4865a6f4a1"]},{"id":"ITEM-2","itemData":{"author":[{"dropping-particle":"","family":"UWA","given":"","non-dropping-particle":"","parse-names":false,"suffix":""}],"id":"ITEM-2","issued":{"date-parts":[["2020"]]},"number-of-pages":"6-12","title":"Uganda wildlife authority community conservation policy","type":"report"},"uris":["http://www.mendeley.com/documents/?uuid=36eec2ab-9ef9-4f05-b07c-0faf21994aca"]}],"mendeley":{"formattedCitation":"(Parliament of Uganda, 2019; UWA, 2020)","plainTextFormattedCitation":"(Parliament of Uganda, 2019; UWA, 2020)","previouslyFormattedCitation":"(Parliament of Uganda, 2019; UWA, 2020)"},"properties":{"noteIndex":0},"schema":"https://github.com/citation-style-language/schema/raw/master/csl-citation.json"}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rPr>
              <w:t>(Parliament of Uganda, 2019; UWA, 2020)</w:t>
            </w:r>
            <w:r w:rsidRPr="003E499A">
              <w:rPr>
                <w:rFonts w:ascii="Times New Roman" w:hAnsi="Times New Roman" w:cs="Times New Roman"/>
                <w:color w:val="000000" w:themeColor="text1"/>
                <w:sz w:val="18"/>
                <w:szCs w:val="18"/>
              </w:rPr>
              <w:fldChar w:fldCharType="end"/>
            </w:r>
          </w:p>
        </w:tc>
      </w:tr>
      <w:tr w:rsidR="00E51D13" w:rsidRPr="003E499A" w:rsidTr="008F575F">
        <w:tc>
          <w:tcPr>
            <w:tcW w:w="46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12.</w:t>
            </w:r>
          </w:p>
        </w:tc>
        <w:tc>
          <w:tcPr>
            <w:tcW w:w="1705"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Community Conservation Policy, 2020</w:t>
            </w:r>
          </w:p>
        </w:tc>
        <w:tc>
          <w:tcPr>
            <w:tcW w:w="2756"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The policy aims to reinforce conservation of Uganda’s wildlife resources through dynamic participation of communities.</w:t>
            </w:r>
            <w:r w:rsidR="007A138D">
              <w:rPr>
                <w:rFonts w:ascii="Times New Roman" w:hAnsi="Times New Roman" w:cs="Times New Roman"/>
                <w:color w:val="000000" w:themeColor="text1"/>
                <w:sz w:val="18"/>
                <w:szCs w:val="18"/>
              </w:rPr>
              <w:t xml:space="preserve"> </w:t>
            </w:r>
            <w:r w:rsidRPr="003E499A">
              <w:rPr>
                <w:rFonts w:ascii="Times New Roman" w:hAnsi="Times New Roman" w:cs="Times New Roman"/>
                <w:color w:val="000000" w:themeColor="text1"/>
                <w:sz w:val="18"/>
                <w:szCs w:val="18"/>
              </w:rPr>
              <w:t xml:space="preserve"> </w:t>
            </w:r>
            <w:r w:rsidR="000A16FC" w:rsidRPr="000A16FC">
              <w:rPr>
                <w:rFonts w:ascii="Times New Roman" w:hAnsi="Times New Roman" w:cs="Times New Roman"/>
                <w:color w:val="000000" w:themeColor="text1"/>
                <w:sz w:val="18"/>
                <w:szCs w:val="18"/>
              </w:rPr>
              <w:t xml:space="preserve">The policy proposes a variety of measures such as obtaining resources from </w:t>
            </w:r>
            <w:r w:rsidR="000A16FC">
              <w:rPr>
                <w:rFonts w:ascii="Times New Roman" w:hAnsi="Times New Roman" w:cs="Times New Roman"/>
                <w:color w:val="000000" w:themeColor="text1"/>
                <w:sz w:val="18"/>
                <w:szCs w:val="18"/>
              </w:rPr>
              <w:t>PA</w:t>
            </w:r>
            <w:r w:rsidR="000A16FC" w:rsidRPr="000A16FC">
              <w:rPr>
                <w:rFonts w:ascii="Times New Roman" w:hAnsi="Times New Roman" w:cs="Times New Roman"/>
                <w:color w:val="000000" w:themeColor="text1"/>
                <w:sz w:val="18"/>
                <w:szCs w:val="18"/>
              </w:rPr>
              <w:t>s, implementing a revenue distribution plan, addressing and controlling human-wildlife conflicts, and encouraging wildlife-focused businesses and associated initiatives that can benefit both conservation efforts and the community's well-being.</w:t>
            </w:r>
            <w:r w:rsidRPr="003E499A">
              <w:rPr>
                <w:rFonts w:ascii="Times New Roman" w:hAnsi="Times New Roman" w:cs="Times New Roman"/>
                <w:color w:val="000000" w:themeColor="text1"/>
                <w:sz w:val="18"/>
                <w:szCs w:val="18"/>
              </w:rPr>
              <w:t xml:space="preserve"> The 2020 Community Conservation Policy has repealed its 2004 version.</w:t>
            </w:r>
          </w:p>
        </w:tc>
        <w:tc>
          <w:tcPr>
            <w:tcW w:w="2313"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t xml:space="preserve">Need to </w:t>
            </w:r>
            <w:bookmarkStart w:id="36" w:name="_Hlk119470489"/>
            <w:r w:rsidRPr="003E499A">
              <w:rPr>
                <w:rFonts w:ascii="Times New Roman" w:hAnsi="Times New Roman" w:cs="Times New Roman"/>
                <w:color w:val="000000" w:themeColor="text1"/>
                <w:sz w:val="18"/>
                <w:szCs w:val="18"/>
              </w:rPr>
              <w:t>scale-up human-wildlife conflict management, enhance benefit sharing arrangements, and strengthen education awareness</w:t>
            </w:r>
            <w:bookmarkEnd w:id="36"/>
            <w:r w:rsidRPr="003E499A">
              <w:rPr>
                <w:rFonts w:ascii="Times New Roman" w:hAnsi="Times New Roman" w:cs="Times New Roman"/>
                <w:color w:val="000000" w:themeColor="text1"/>
                <w:sz w:val="18"/>
                <w:szCs w:val="18"/>
              </w:rPr>
              <w:t>.</w:t>
            </w:r>
          </w:p>
        </w:tc>
        <w:tc>
          <w:tcPr>
            <w:tcW w:w="1787" w:type="dxa"/>
            <w:tcBorders>
              <w:left w:val="nil"/>
              <w:right w:val="nil"/>
            </w:tcBorders>
          </w:tcPr>
          <w:p w:rsidR="00F17E02" w:rsidRPr="003E499A" w:rsidRDefault="00F17E02" w:rsidP="00D0319C">
            <w:pPr>
              <w:rPr>
                <w:rFonts w:ascii="Times New Roman" w:hAnsi="Times New Roman" w:cs="Times New Roman"/>
                <w:color w:val="000000" w:themeColor="text1"/>
                <w:sz w:val="18"/>
                <w:szCs w:val="18"/>
              </w:rPr>
            </w:pPr>
            <w:r w:rsidRPr="003E499A">
              <w:rPr>
                <w:rFonts w:ascii="Times New Roman" w:hAnsi="Times New Roman" w:cs="Times New Roman"/>
                <w:color w:val="000000" w:themeColor="text1"/>
                <w:sz w:val="18"/>
                <w:szCs w:val="18"/>
              </w:rPr>
              <w:fldChar w:fldCharType="begin" w:fldLock="1"/>
            </w:r>
            <w:r w:rsidRPr="003E499A">
              <w:rPr>
                <w:rFonts w:ascii="Times New Roman" w:hAnsi="Times New Roman" w:cs="Times New Roman"/>
                <w:color w:val="000000" w:themeColor="text1"/>
                <w:sz w:val="18"/>
                <w:szCs w:val="18"/>
              </w:rPr>
              <w:instrText>ADDIN CSL_CITATION {"citationItems":[{"id":"ITEM-1","itemData":{"author":[{"dropping-particle":"","family":"UWA","given":"","non-dropping-particle":"","parse-names":false,"suffix":""}],"id":"ITEM-1","issued":{"date-parts":[["2020"]]},"number-of-pages":"6-12","title":"Uganda wildlife authority community conservation policy","type":"report"},"uris":["http://www.mendeley.com/documents/?uuid=36eec2ab-9ef9-4f05-b07c-0faf21994aca"]}],"mendeley":{"formattedCitation":"(UWA, 2020)","plainTextFormattedCitation":"(UWA, 2020)","previouslyFormattedCitation":"(UWA, 2020)"},"properties":{"noteIndex":0},"schema":"https://github.com/citation-style-language/schema/raw/master/csl-citation.json"}</w:instrText>
            </w:r>
            <w:r w:rsidRPr="003E499A">
              <w:rPr>
                <w:rFonts w:ascii="Times New Roman" w:hAnsi="Times New Roman" w:cs="Times New Roman"/>
                <w:color w:val="000000" w:themeColor="text1"/>
                <w:sz w:val="18"/>
                <w:szCs w:val="18"/>
              </w:rPr>
              <w:fldChar w:fldCharType="separate"/>
            </w:r>
            <w:r w:rsidRPr="003E499A">
              <w:rPr>
                <w:rFonts w:ascii="Times New Roman" w:hAnsi="Times New Roman" w:cs="Times New Roman"/>
                <w:noProof/>
                <w:color w:val="000000" w:themeColor="text1"/>
                <w:sz w:val="18"/>
                <w:szCs w:val="18"/>
              </w:rPr>
              <w:t>(UWA, 2020)</w:t>
            </w:r>
            <w:r w:rsidRPr="003E499A">
              <w:rPr>
                <w:rFonts w:ascii="Times New Roman" w:hAnsi="Times New Roman" w:cs="Times New Roman"/>
                <w:color w:val="000000" w:themeColor="text1"/>
                <w:sz w:val="18"/>
                <w:szCs w:val="18"/>
              </w:rPr>
              <w:fldChar w:fldCharType="end"/>
            </w:r>
          </w:p>
        </w:tc>
      </w:tr>
    </w:tbl>
    <w:p w:rsidR="00F17E02" w:rsidRPr="003E499A" w:rsidRDefault="00F17E02" w:rsidP="00D0319C">
      <w:pPr>
        <w:spacing w:line="240" w:lineRule="auto"/>
      </w:pPr>
    </w:p>
    <w:p w:rsidR="00F17E02" w:rsidRPr="003E499A" w:rsidRDefault="00F17E02" w:rsidP="00D0319C">
      <w:pPr>
        <w:spacing w:line="240" w:lineRule="auto"/>
        <w:rPr>
          <w:rFonts w:ascii="Times New Roman" w:hAnsi="Times New Roman" w:cs="Times New Roman"/>
          <w:sz w:val="24"/>
          <w:szCs w:val="24"/>
        </w:rPr>
      </w:pPr>
      <w:bookmarkStart w:id="37" w:name="_Hlk116005932"/>
      <w:r w:rsidRPr="003E499A">
        <w:rPr>
          <w:rFonts w:ascii="Times New Roman" w:hAnsi="Times New Roman" w:cs="Times New Roman"/>
          <w:sz w:val="24"/>
          <w:szCs w:val="24"/>
        </w:rPr>
        <w:t xml:space="preserve">Internationally, Uganda is signatory to some key international conventions such as: </w:t>
      </w:r>
      <w:bookmarkEnd w:id="37"/>
      <w:r w:rsidRPr="003E499A">
        <w:rPr>
          <w:rFonts w:ascii="Times New Roman" w:hAnsi="Times New Roman" w:cs="Times New Roman"/>
          <w:sz w:val="24"/>
          <w:szCs w:val="24"/>
        </w:rPr>
        <w:t xml:space="preserve">The </w:t>
      </w:r>
      <w:r w:rsidRPr="000A16FC">
        <w:rPr>
          <w:rFonts w:ascii="Times New Roman" w:hAnsi="Times New Roman" w:cs="Times New Roman"/>
          <w:sz w:val="24"/>
          <w:szCs w:val="24"/>
        </w:rPr>
        <w:t>Ramsar Convention on Wetlands, 1971; The Convention for the Protection of World Cultural and Natural Heritage, 1972; The Convention on international Trade in Endangered Species, 1973; The Bonn Convention on Migratory Species, 1979; The International Convention on Biological Diversity, 1992; The Convention to Combat Desertification, 1994; East African Community Protocol on Environment and Natural Resources, 2006.</w:t>
      </w:r>
    </w:p>
    <w:p w:rsidR="00F17E02" w:rsidRPr="003E499A" w:rsidRDefault="00F17E02" w:rsidP="00F37338">
      <w:pPr>
        <w:pStyle w:val="Heading4"/>
      </w:pPr>
      <w:r w:rsidRPr="003E499A">
        <w:t>USA conservation policy and legal instruments</w:t>
      </w:r>
    </w:p>
    <w:p w:rsidR="00F17E02" w:rsidRDefault="00F17E02" w:rsidP="00D0319C">
      <w:pPr>
        <w:spacing w:line="240" w:lineRule="auto"/>
        <w:rPr>
          <w:rFonts w:ascii="Times New Roman" w:hAnsi="Times New Roman" w:cs="Times New Roman"/>
          <w:color w:val="0D0D0D" w:themeColor="text1" w:themeTint="F2"/>
          <w:sz w:val="24"/>
          <w:szCs w:val="24"/>
        </w:rPr>
      </w:pPr>
      <w:r w:rsidRPr="003E499A">
        <w:rPr>
          <w:rFonts w:ascii="Times New Roman" w:hAnsi="Times New Roman" w:cs="Times New Roman"/>
          <w:color w:val="0D0D0D" w:themeColor="text1" w:themeTint="F2"/>
          <w:sz w:val="24"/>
          <w:szCs w:val="24"/>
        </w:rPr>
        <w:t xml:space="preserve">Alarmed by the wasteful attitude of land speculators, developers, and mining companies toward the exploitation of natural resources for private gains during the mid to late 19 century conservationists advocated for federal supervision of the nation's resources and their preservation </w:t>
      </w:r>
      <w:r w:rsidR="009378AB" w:rsidRPr="009378AB">
        <w:rPr>
          <w:rFonts w:ascii="Times New Roman" w:hAnsi="Times New Roman" w:cs="Times New Roman"/>
          <w:color w:val="0D0D0D" w:themeColor="text1" w:themeTint="F2"/>
          <w:sz w:val="24"/>
          <w:szCs w:val="24"/>
        </w:rPr>
        <w:t>with an eye toward future generations</w:t>
      </w:r>
      <w:r w:rsidRPr="009378AB">
        <w:rPr>
          <w:rFonts w:ascii="Times New Roman" w:hAnsi="Times New Roman" w:cs="Times New Roman"/>
          <w:color w:val="0D0D0D" w:themeColor="text1" w:themeTint="F2"/>
          <w:sz w:val="24"/>
          <w:szCs w:val="24"/>
        </w:rPr>
        <w:t>. The U.S. legislative</w:t>
      </w:r>
      <w:r w:rsidRPr="003E499A">
        <w:rPr>
          <w:rFonts w:ascii="Times New Roman" w:hAnsi="Times New Roman" w:cs="Times New Roman"/>
          <w:color w:val="0D0D0D" w:themeColor="text1" w:themeTint="F2"/>
          <w:sz w:val="24"/>
          <w:szCs w:val="24"/>
        </w:rPr>
        <w:t xml:space="preserve"> and executive branches have joined their efforts to draw up long-range plans and policies for saving and preserving vulnerable national resources. The early statutory directives were very useful at securing the preservation of the great American scenic wonders of the Far West and progressed to the East and South of the USA to protect ecological hotspots, historical monuments, cultural sites, and structures associated with early Native American culture. Aware of its enormous economic and geopolitical influence, the USA quickly understood the </w:t>
      </w:r>
      <w:r w:rsidRPr="003E499A">
        <w:rPr>
          <w:rFonts w:ascii="Times New Roman" w:hAnsi="Times New Roman" w:cs="Times New Roman"/>
          <w:color w:val="0D0D0D" w:themeColor="text1" w:themeTint="F2"/>
          <w:sz w:val="24"/>
          <w:szCs w:val="24"/>
        </w:rPr>
        <w:lastRenderedPageBreak/>
        <w:t>need to establish the early inspiring guiding documents that would help shape an ambitious international conservation movement, enables it to cross national borders, support it through changing times, and escort it to future centuries. T</w:t>
      </w:r>
      <w:r>
        <w:rPr>
          <w:rFonts w:ascii="Times New Roman" w:hAnsi="Times New Roman" w:cs="Times New Roman"/>
          <w:color w:val="0D0D0D" w:themeColor="text1" w:themeTint="F2"/>
          <w:sz w:val="24"/>
          <w:szCs w:val="24"/>
        </w:rPr>
        <w:t xml:space="preserve">able </w:t>
      </w:r>
      <w:r w:rsidR="004129E8">
        <w:rPr>
          <w:rFonts w:ascii="Times New Roman" w:hAnsi="Times New Roman" w:cs="Times New Roman"/>
          <w:color w:val="0D0D0D" w:themeColor="text1" w:themeTint="F2"/>
          <w:sz w:val="24"/>
          <w:szCs w:val="24"/>
        </w:rPr>
        <w:t>3.</w:t>
      </w:r>
      <w:r>
        <w:rPr>
          <w:rFonts w:ascii="Times New Roman" w:hAnsi="Times New Roman" w:cs="Times New Roman"/>
          <w:color w:val="0D0D0D" w:themeColor="text1" w:themeTint="F2"/>
          <w:sz w:val="24"/>
          <w:szCs w:val="24"/>
        </w:rPr>
        <w:t xml:space="preserve">4 lists </w:t>
      </w:r>
      <w:r w:rsidRPr="003E499A">
        <w:rPr>
          <w:rFonts w:ascii="Times New Roman" w:hAnsi="Times New Roman" w:cs="Times New Roman"/>
          <w:color w:val="0D0D0D" w:themeColor="text1" w:themeTint="F2"/>
          <w:sz w:val="24"/>
          <w:szCs w:val="24"/>
        </w:rPr>
        <w:t xml:space="preserve">early and subsequent </w:t>
      </w:r>
      <w:r>
        <w:rPr>
          <w:rFonts w:ascii="Times New Roman" w:hAnsi="Times New Roman" w:cs="Times New Roman"/>
          <w:color w:val="0D0D0D" w:themeColor="text1" w:themeTint="F2"/>
          <w:sz w:val="24"/>
          <w:szCs w:val="24"/>
        </w:rPr>
        <w:t>major conservation legal instruments in the USA</w:t>
      </w:r>
      <w:r w:rsidRPr="003E499A">
        <w:rPr>
          <w:rFonts w:ascii="Times New Roman" w:hAnsi="Times New Roman" w:cs="Times New Roman"/>
          <w:color w:val="0D0D0D" w:themeColor="text1" w:themeTint="F2"/>
          <w:sz w:val="24"/>
          <w:szCs w:val="24"/>
        </w:rPr>
        <w:t xml:space="preserve"> (U.S. National Park Service, 2021).</w:t>
      </w:r>
    </w:p>
    <w:p w:rsidR="008F575F" w:rsidRDefault="00F17E02" w:rsidP="008F575F">
      <w:pPr>
        <w:pStyle w:val="Caption"/>
        <w:keepNext/>
        <w:jc w:val="left"/>
      </w:pPr>
      <w:r>
        <w:t xml:space="preserve">Table </w:t>
      </w:r>
      <w:fldSimple w:instr=" STYLEREF 1 \s ">
        <w:r w:rsidR="008F575F">
          <w:rPr>
            <w:noProof/>
          </w:rPr>
          <w:t>3</w:t>
        </w:r>
      </w:fldSimple>
      <w:r w:rsidR="008F575F">
        <w:t>.</w:t>
      </w:r>
      <w:fldSimple w:instr=" SEQ Table \* ARABIC \s 1 ">
        <w:r w:rsidR="008F575F">
          <w:rPr>
            <w:noProof/>
          </w:rPr>
          <w:t>4</w:t>
        </w:r>
      </w:fldSimple>
      <w:r>
        <w:t>. Major conservation policy and legal instruments in the USA</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436"/>
        <w:gridCol w:w="2378"/>
        <w:gridCol w:w="4332"/>
        <w:gridCol w:w="1880"/>
      </w:tblGrid>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b/>
                <w:bCs/>
                <w:color w:val="0D0D0D" w:themeColor="text1" w:themeTint="F2"/>
                <w:sz w:val="18"/>
                <w:szCs w:val="18"/>
              </w:rPr>
            </w:pPr>
            <w:r w:rsidRPr="0068651E">
              <w:rPr>
                <w:rFonts w:ascii="Times New Roman" w:hAnsi="Times New Roman" w:cs="Times New Roman"/>
                <w:b/>
                <w:bCs/>
                <w:color w:val="0D0D0D" w:themeColor="text1" w:themeTint="F2"/>
                <w:sz w:val="18"/>
                <w:szCs w:val="18"/>
              </w:rPr>
              <w:t>No</w:t>
            </w:r>
          </w:p>
        </w:tc>
        <w:tc>
          <w:tcPr>
            <w:tcW w:w="2378" w:type="dxa"/>
            <w:hideMark/>
          </w:tcPr>
          <w:p w:rsidR="0068651E" w:rsidRPr="0068651E" w:rsidRDefault="0068651E" w:rsidP="0068651E">
            <w:pPr>
              <w:rPr>
                <w:rFonts w:ascii="Times New Roman" w:hAnsi="Times New Roman" w:cs="Times New Roman"/>
                <w:b/>
                <w:bCs/>
                <w:color w:val="0D0D0D" w:themeColor="text1" w:themeTint="F2"/>
                <w:sz w:val="18"/>
                <w:szCs w:val="18"/>
              </w:rPr>
            </w:pPr>
            <w:r w:rsidRPr="0068651E">
              <w:rPr>
                <w:rFonts w:ascii="Times New Roman" w:hAnsi="Times New Roman" w:cs="Times New Roman"/>
                <w:b/>
                <w:bCs/>
                <w:color w:val="0D0D0D" w:themeColor="text1" w:themeTint="F2"/>
                <w:sz w:val="18"/>
                <w:szCs w:val="18"/>
              </w:rPr>
              <w:t>Primary piece of legislation/policy</w:t>
            </w:r>
          </w:p>
        </w:tc>
        <w:tc>
          <w:tcPr>
            <w:tcW w:w="4332" w:type="dxa"/>
            <w:hideMark/>
          </w:tcPr>
          <w:p w:rsidR="0068651E" w:rsidRPr="0068651E" w:rsidRDefault="0068651E" w:rsidP="0068651E">
            <w:pPr>
              <w:rPr>
                <w:rFonts w:ascii="Times New Roman" w:hAnsi="Times New Roman" w:cs="Times New Roman"/>
                <w:b/>
                <w:bCs/>
                <w:color w:val="0D0D0D" w:themeColor="text1" w:themeTint="F2"/>
                <w:sz w:val="18"/>
                <w:szCs w:val="18"/>
              </w:rPr>
            </w:pPr>
            <w:r w:rsidRPr="0068651E">
              <w:rPr>
                <w:rFonts w:ascii="Times New Roman" w:hAnsi="Times New Roman" w:cs="Times New Roman"/>
                <w:b/>
                <w:bCs/>
                <w:color w:val="0D0D0D" w:themeColor="text1" w:themeTint="F2"/>
                <w:sz w:val="18"/>
                <w:szCs w:val="18"/>
              </w:rPr>
              <w:t>Conservation component</w:t>
            </w:r>
          </w:p>
        </w:tc>
        <w:tc>
          <w:tcPr>
            <w:tcW w:w="1880" w:type="dxa"/>
            <w:hideMark/>
          </w:tcPr>
          <w:p w:rsidR="0068651E" w:rsidRPr="0068651E" w:rsidRDefault="0068651E" w:rsidP="0068651E">
            <w:pPr>
              <w:rPr>
                <w:rFonts w:ascii="Times New Roman" w:hAnsi="Times New Roman" w:cs="Times New Roman"/>
                <w:b/>
                <w:bCs/>
                <w:color w:val="0D0D0D" w:themeColor="text1" w:themeTint="F2"/>
                <w:sz w:val="18"/>
                <w:szCs w:val="18"/>
              </w:rPr>
            </w:pPr>
            <w:r w:rsidRPr="0068651E">
              <w:rPr>
                <w:rFonts w:ascii="Times New Roman" w:hAnsi="Times New Roman" w:cs="Times New Roman"/>
                <w:b/>
                <w:bCs/>
                <w:color w:val="0D0D0D" w:themeColor="text1" w:themeTint="F2"/>
                <w:sz w:val="18"/>
                <w:szCs w:val="18"/>
              </w:rPr>
              <w:t>Source</w:t>
            </w: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1</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Lacey Act, 1900</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Combats illegal trafficking of wildlife.</w:t>
            </w:r>
          </w:p>
        </w:tc>
        <w:tc>
          <w:tcPr>
            <w:tcW w:w="1880" w:type="dxa"/>
            <w:vMerge w:val="restart"/>
            <w:hideMark/>
          </w:tcPr>
          <w:p w:rsidR="0068651E" w:rsidRPr="0068651E" w:rsidRDefault="0068651E" w:rsidP="0068651E">
            <w:pPr>
              <w:rPr>
                <w:rFonts w:ascii="Times New Roman" w:hAnsi="Times New Roman" w:cs="Times New Roman"/>
                <w:color w:val="0D0D0D" w:themeColor="text1" w:themeTint="F2"/>
                <w:sz w:val="18"/>
                <w:szCs w:val="18"/>
              </w:rPr>
            </w:pPr>
            <w:r>
              <w:rPr>
                <w:rFonts w:ascii="Times New Roman" w:hAnsi="Times New Roman" w:cs="Times New Roman"/>
                <w:color w:val="0D0D0D" w:themeColor="text1" w:themeTint="F2"/>
                <w:sz w:val="18"/>
                <w:szCs w:val="18"/>
              </w:rPr>
              <w:fldChar w:fldCharType="begin" w:fldLock="1"/>
            </w:r>
            <w:r>
              <w:rPr>
                <w:rFonts w:ascii="Times New Roman" w:hAnsi="Times New Roman" w:cs="Times New Roman"/>
                <w:color w:val="0D0D0D" w:themeColor="text1" w:themeTint="F2"/>
                <w:sz w:val="18"/>
                <w:szCs w:val="18"/>
              </w:rPr>
              <w:instrText>ADDIN CSL_CITATION {"citationItems":[{"id":"ITEM-1","itemData":{"abstract":"Penalties for damage, destruction, etc. of antiquities","author":[{"dropping-particle":"","family":"United States Congress","given":"","non-dropping-particle":"","parse-names":false,"suffix":""}],"id":"ITEM-1","issued":{"date-parts":[["1906"]]},"page":"431-432","title":"American antiquities act of 1906","type":"legislation","volume":"1906"},"uris":["http://www.mendeley.com/documents/?uuid=e6acbab6-9da0-4ebb-9d88-b33c5465d019"]},{"id":"ITEM-2","itemData":{"abstract":"Act of Aug. 25, 1916, ch. 408; 39 Stat. 535-36","author":[{"dropping-particle":"","family":"United States Congress","given":"","non-dropping-particle":"","parse-names":false,"suffix":""}],"id":"ITEM-2","issued":{"date-parts":[["1916"]]},"page":"2","title":"National park service organic act of 1916","type":"legislation"},"uris":["http://www.mendeley.com/documents/?uuid=64b22c8e-956e-43a0-aad4-38c89144c498"]},{"id":"ITEM-3","itemData":{"DOI":"10.1007/978-3-030-58292-0_80281","abstract":"This Act became law on August 21, 1935 (49 Stat. 666; 16 U.S.C. 461-467) and has been amended eight times. This description of the Act, as amended, tracks the language of the United States Code except that (in following common usage) we refer to the “Act” (mean- ing the Act, as amended) rather than to the “subchapter” or the “title” of the Code. This title is not an official short title, but is merely a convenience for the reader.","author":[{"dropping-particle":"","family":"United States Congress","given":"","non-dropping-particle":"","parse-names":false,"suffix":""}],"id":"ITEM-3","issued":{"date-parts":[["1935"]]},"title":"Historic sites act of 1935","type":"legislation"},"uris":["http://www.mendeley.com/documents/?uuid=305f3995-77df-46aa-b390-fb085bd828f5"]},{"id":"ITEM-4","itemData":{"author":[{"dropping-particle":"","family":"United States Congress","given":"","non-dropping-particle":"","parse-names":false,"suffix":""}],"id":"ITEM-4","issued":{"date-parts":[["1964"]]},"page":"1131-1136","title":"Wilderness act of 1964","type":"legislation"},"uris":["http://www.mendeley.com/documents/?uuid=f982f9e4-5e70-4059-a8ce-b1751e4a4bbe"]},{"id":"ITEM-5","itemData":{"abstract":"An Act to establish a program for the preservation of additional historical properties through-out the Nation, and for other purposes.","author":[{"dropping-particle":"","family":"United States Congress","given":"","non-dropping-particle":"","parse-names":false,"suffix":""}],"id":"ITEM-5","issued":{"date-parts":[["1966"]]},"title":"National historic preservation act of 1966","type":"legislation"},"uris":["http://www.mendeley.com/documents/?uuid=efa3e570-7891-4700-bf40-47d6830f38b9"]},{"id":"ITEM-6","itemData":{"author":[{"dropping-particle":"","family":"United States Congress","given":"","non-dropping-particle":"","parse-names":false,"suffix":""}],"id":"ITEM-6","issued":{"date-parts":[["1970"]]},"title":"National environmental policy act of 1970","type":"legislation","volume":"4"},"uris":["http://www.mendeley.com/documents/?uuid=3c45e15e-8318-42f9-a2ba-edaa05642f8b"]},{"id":"ITEM-7","itemData":{"URL":"https://npspolicy.nps.gov/getlaws.cfm","accessed":{"date-parts":[["2021","10","24"]]},"author":[{"dropping-particle":"","family":"U.S. National Park Service","given":"","non-dropping-particle":"","parse-names":false,"suffix":""}],"id":"ITEM-7","issued":{"date-parts":[["2021"]]},"title":"Related laws - NPS Office of policy","type":"webpage"},"uris":["http://www.mendeley.com/documents/?uuid=95dcb72e-1de6-31f3-b9af-fa3d9b3feb26"]}],"mendeley":{"formattedCitation":"(United States Congress, 1906, 1916, 1935, 1964, 1966, 1970; U.S. National Park Service, 2021)","plainTextFormattedCitation":"(United States Congress, 1906, 1916, 1935, 1964, 1966, 1970; U.S. National Park Service, 2021)"},"properties":{"noteIndex":0},"schema":"https://github.com/citation-style-language/schema/raw/master/csl-citation.json"}</w:instrText>
            </w:r>
            <w:r>
              <w:rPr>
                <w:rFonts w:ascii="Times New Roman" w:hAnsi="Times New Roman" w:cs="Times New Roman"/>
                <w:color w:val="0D0D0D" w:themeColor="text1" w:themeTint="F2"/>
                <w:sz w:val="18"/>
                <w:szCs w:val="18"/>
              </w:rPr>
              <w:fldChar w:fldCharType="separate"/>
            </w:r>
            <w:r w:rsidRPr="0068651E">
              <w:rPr>
                <w:rFonts w:ascii="Times New Roman" w:hAnsi="Times New Roman" w:cs="Times New Roman"/>
                <w:noProof/>
                <w:color w:val="0D0D0D" w:themeColor="text1" w:themeTint="F2"/>
                <w:sz w:val="18"/>
                <w:szCs w:val="18"/>
              </w:rPr>
              <w:t>(United States Congress, 1906, 1916, 1935, 1964, 1966, 1970; U.S. National Park Service, 2021)</w:t>
            </w:r>
            <w:r>
              <w:rPr>
                <w:rFonts w:ascii="Times New Roman" w:hAnsi="Times New Roman" w:cs="Times New Roman"/>
                <w:color w:val="0D0D0D" w:themeColor="text1" w:themeTint="F2"/>
                <w:sz w:val="18"/>
                <w:szCs w:val="18"/>
              </w:rPr>
              <w:fldChar w:fldCharType="end"/>
            </w: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2</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Antiquities Act, 1906</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Is the 1</w:t>
            </w:r>
            <w:r w:rsidRPr="0068651E">
              <w:rPr>
                <w:rFonts w:ascii="Times New Roman" w:hAnsi="Times New Roman" w:cs="Times New Roman"/>
                <w:color w:val="0D0D0D" w:themeColor="text1" w:themeTint="F2"/>
                <w:sz w:val="18"/>
                <w:szCs w:val="18"/>
                <w:vertAlign w:val="superscript"/>
              </w:rPr>
              <w:t>st</w:t>
            </w:r>
            <w:r w:rsidRPr="0068651E">
              <w:rPr>
                <w:rFonts w:ascii="Times New Roman" w:hAnsi="Times New Roman" w:cs="Times New Roman"/>
                <w:color w:val="0D0D0D" w:themeColor="text1" w:themeTint="F2"/>
                <w:sz w:val="18"/>
                <w:szCs w:val="18"/>
              </w:rPr>
              <w:t xml:space="preserve"> law to provide legal protection of natural, cultural, and historic resources on the US federal lands.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3</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Federal Insecticide, Fungicide and Rodenticide Act, 1910</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Protects farmers and consumers from fraudulent pesticides.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4</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NPS Organic Act, 1916</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It has established the NPS as an agency with a dual mission, to promote the use of NP lands, and to ensure the transfer of these resources for upcoming generations in an undamaged state.</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5</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Migratory Bird Treaty Act, 1918</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Has listed more than a thousand species of migratory birds on which any hunting, taking, capture, killing, or sale is strictly prohibited.</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6</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Reorganization Act, 1933</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Grant the president the power to reassign national monuments between various government departments.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7</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Historic Sites Act, 1935</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A policy to preserve objects, buildings, and historic sites of national significance for the inspiration and benefit of the Americans.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8</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Federal Water Pollution Control Act, 1948</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This legislation represents the initial significant U.S. effort to tackle the issue of water contamination.</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9</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Clean Air Act, 1963</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It is the first US piece of legislation to pertain air pollution control.</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10</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Outdoor Recreation Act, 1963</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Provides the authority to charge entrance and use fees for recreational activities.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11</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Wilderness Act, 1964</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Establishes a national Wilderness Preservation System.</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12</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Land and Water Conservation Fund Act, 1965</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Offers a financial resource for procuring federal land to establish PAs.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13</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Solid Waste Disposal Act, 1965</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Aims to reduce the hazardous disposal of wastes and promotes better waste disposal technology.</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14</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National Historic Preservation Act, 1966</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Has shaped a clearly distinctive process for historic preservation in the USA.</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15</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National Trails System Act, 1968</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 xml:space="preserve">Has officially designated national recreation routes to promote nature appreciation and protection as well as historic preservation. </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16</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Wild and Scenic Rivers Act, 1968</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Has promoted the preservation of designated rivers with outstanding natural, cultural, and recreational values.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17</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Volunteers in the Parks Act, 1969</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Has established the legal ground for volunteer program in the NPS to help fill the park funding-responsibilities gap.</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18</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Geothermal Steam Act, 1970</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Defines dispositions of geothermal resources management.</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19</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National Environmental Policy Act, 1970</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 xml:space="preserve">The NEPA has inspired national environmental policies across more than 100 nations around the world. It is the origin of the famous Environmental Assessments (EAs) and Environmental Impact Statements (EISs). </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20</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National Park System General Authorities Act, 1970</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Redefined the US NP System to include other types of PAs such as monument, historic, parkway, recreational, etc.</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21</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Coastal Zone Management Act, 1972</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Offers enhanced protection and restoration opportunities to designated national coastal zones.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22</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Marine Mammal Protection Act, 1972</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Prevents marine mammal species and population stocks from declining beyond the point where they cease to be significant functioning elements of their ecosystems.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lastRenderedPageBreak/>
              <w:t>23</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Noise Control Act, 1972</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Promotes an environment free from noises that jeopardizes the welfare of all Americans.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24</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Endangered Species Act, 1973</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It is intended to protect critically jeopardized species from extinction.</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25</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National Cemeteries Act, 1973</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Establishes a National Cemetery System and authorizes the federal government to acquire ground for use as national cemeteries for military personnel who dies in the service of the country.</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26</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Safe Drinking Water Act, 1974</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Has established the standards for drinking water quality, and designate authorities to enforce those standards.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27</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Hazardous Materials Transportation Act, 1975</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Regulates the transportation of hazardous materials and prevent spills and illegal dumping of wastes.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28</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Mining in the Parks Act, 1976</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Regulate all activities in connection with mining exercise, and mineral rights claims.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29</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Toxic Substances Control Act, 1976</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Regulates commerce and protects the environment and human health by requiring testing and necessary use restrictions on certain chemical substances.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30</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Surface Mining Control and Reclamation Act, 1977</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Bans surface coal mining operations within the limits of any protected area unit.</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31</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National Parks and Recreation Act, 1978</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Has granted permission for the inclusion of 15 new units within the NP system.</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32</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Redwoods National Park Expansion Act, 1978</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Has encouraged the protection of NPs from external encroachment upon NPs by adjacent activities.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33</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Archaeological Resources Protection Act, 1979</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Oversee the digging and preservation of archaeological sites on both Federal and Native American territories.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34</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Alaska National Interest Lands Conservation Act, 1980</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A highly influential piece of conservation law in the USA. It is the single largest expansion of PAs network and has more than doubled the size of the then PAs network.</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35</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Comprehensive Environmental Response, Compensation, and Liability Act, 1980</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Also known as “Superfund”, provides funding for cleaning up abandoned hazardous waste and other emergency spills of pollutants into the environment.</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36</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Commemorative Works Act, 1986</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Guides the nomination of structure or landscape feature designated to perpetuate the memory of people or events.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37</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Abandoned Shipwreck Act, 1987</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Declares the State ownership and responsibility over abandoned shipwrecks in the nation’s waters.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38</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Federal Cave Resources Protection Act, 1988</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Secures, protects, and preserves designated caves from theft, vandalism, or disturbance of cave resources.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39</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North American Wetlands Conservation Act, 1989</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Provides for the protection, restoration, and management of wetland ecosystems critical to the survival of migratory birds in North America.</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40</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National Park System Resource Protection Act, 1990</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Provides the NPS with civil authority to seek compensation for park resources damaged or destroyed by human actions.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41</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Native American Graves Protection and Repatriation Act, 1990</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Provides for the repatriation and disposition of certain Native American human remains and objects.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42</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Oil Pollution Act, 1990</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It is intended to avoid oil spills from vessels or facilities and removes spilled oil through assigning liability for the cost of clean-up and damages.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43</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Energy Policy Act, 1992</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Addresses all aspects of energy demand and supply to reduce USA fossil fuel dependence.</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44</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National Parks Omnibus Management Act, 1998</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 xml:space="preserve">Covers diverse topics and provides for improved management and increased accountability for certain NPS programs. </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45</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National Park Service Concessions Management Improvement Act, 1998</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Provides a contractual right to allow third party partners to provide better services to visitors and fair return to the federal government.</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46</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National Parks Air Tour Management Act, 2000</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Established suitable and efficient methods for reducing or alleviating the negative effects of air tour operations on preserved resources.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47</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Federal Lands Recreation Enhancement Act, 2004</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Specifies requirements for collection of entrance/recreation fees on federal recreational lands and waters.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lastRenderedPageBreak/>
              <w:t>48</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Consolidated Natural Resources Act, 2008</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It is a single document packaging several measures including the creation of some of the most-protected class of federal lands.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49</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Omnibus Public Land Management Act, 2009</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It is a land management law that has further expanded the PAs network particularly in the American West.</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50</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Paleontological Resources Preservation Act, 2009</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Governs the collection of paleontological resources from public lands.</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r w:rsidR="0068651E" w:rsidRPr="0068651E" w:rsidTr="008F575F">
        <w:trPr>
          <w:trHeight w:val="300"/>
        </w:trPr>
        <w:tc>
          <w:tcPr>
            <w:tcW w:w="436"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51</w:t>
            </w:r>
          </w:p>
        </w:tc>
        <w:tc>
          <w:tcPr>
            <w:tcW w:w="2378"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National Park Service Centennial Act, 2016</w:t>
            </w:r>
          </w:p>
        </w:tc>
        <w:tc>
          <w:tcPr>
            <w:tcW w:w="4332" w:type="dxa"/>
            <w:hideMark/>
          </w:tcPr>
          <w:p w:rsidR="0068651E" w:rsidRPr="0068651E" w:rsidRDefault="0068651E" w:rsidP="0068651E">
            <w:pPr>
              <w:rPr>
                <w:rFonts w:ascii="Times New Roman" w:hAnsi="Times New Roman" w:cs="Times New Roman"/>
                <w:color w:val="0D0D0D" w:themeColor="text1" w:themeTint="F2"/>
                <w:sz w:val="18"/>
                <w:szCs w:val="18"/>
              </w:rPr>
            </w:pPr>
            <w:r w:rsidRPr="0068651E">
              <w:rPr>
                <w:rFonts w:ascii="Times New Roman" w:hAnsi="Times New Roman" w:cs="Times New Roman"/>
                <w:color w:val="0D0D0D" w:themeColor="text1" w:themeTint="F2"/>
                <w:sz w:val="18"/>
                <w:szCs w:val="18"/>
              </w:rPr>
              <w:t>Enhances the NPS action for its second century of existence.</w:t>
            </w:r>
          </w:p>
        </w:tc>
        <w:tc>
          <w:tcPr>
            <w:tcW w:w="1880" w:type="dxa"/>
            <w:vMerge/>
            <w:hideMark/>
          </w:tcPr>
          <w:p w:rsidR="0068651E" w:rsidRPr="0068651E" w:rsidRDefault="0068651E" w:rsidP="0068651E">
            <w:pPr>
              <w:rPr>
                <w:rFonts w:ascii="Times New Roman" w:hAnsi="Times New Roman" w:cs="Times New Roman"/>
                <w:color w:val="0D0D0D" w:themeColor="text1" w:themeTint="F2"/>
                <w:sz w:val="18"/>
                <w:szCs w:val="18"/>
              </w:rPr>
            </w:pPr>
          </w:p>
        </w:tc>
      </w:tr>
    </w:tbl>
    <w:p w:rsidR="00F17E02" w:rsidRPr="0068651E" w:rsidRDefault="00F17E02" w:rsidP="00D0319C">
      <w:pPr>
        <w:spacing w:line="240" w:lineRule="auto"/>
        <w:rPr>
          <w:rFonts w:ascii="Times New Roman" w:hAnsi="Times New Roman" w:cs="Times New Roman"/>
          <w:color w:val="0D0D0D" w:themeColor="text1" w:themeTint="F2"/>
          <w:sz w:val="18"/>
          <w:szCs w:val="18"/>
        </w:rPr>
      </w:pPr>
    </w:p>
    <w:p w:rsidR="00F17E02" w:rsidRPr="003E499A" w:rsidRDefault="00F17E02" w:rsidP="00D0319C">
      <w:pPr>
        <w:spacing w:line="240" w:lineRule="auto"/>
        <w:rPr>
          <w:rFonts w:ascii="Times New Roman" w:hAnsi="Times New Roman" w:cs="Times New Roman"/>
          <w:color w:val="0D0D0D" w:themeColor="text1" w:themeTint="F2"/>
          <w:sz w:val="24"/>
          <w:szCs w:val="24"/>
        </w:rPr>
      </w:pPr>
      <w:r w:rsidRPr="003E499A">
        <w:rPr>
          <w:rFonts w:ascii="Times New Roman" w:hAnsi="Times New Roman" w:cs="Times New Roman"/>
          <w:color w:val="0D0D0D" w:themeColor="text1" w:themeTint="F2"/>
          <w:sz w:val="24"/>
          <w:szCs w:val="24"/>
        </w:rPr>
        <w:t>Currently, the USA National Park Policy and Directive System is mainly structured through hierarchy of authorities composed by (1). Laws, (2). Executive Orders, (3). Management Policies, (4). Director’s Orders, and (5). Regulations</w:t>
      </w:r>
      <w:r>
        <w:rPr>
          <w:rFonts w:ascii="Times New Roman" w:hAnsi="Times New Roman" w:cs="Times New Roman"/>
          <w:color w:val="0D0D0D" w:themeColor="text1" w:themeTint="F2"/>
          <w:sz w:val="24"/>
          <w:szCs w:val="24"/>
        </w:rPr>
        <w:t xml:space="preserve">. This structure ensures its stability </w:t>
      </w:r>
      <w:r w:rsidRPr="003E499A">
        <w:rPr>
          <w:rFonts w:ascii="Times New Roman" w:hAnsi="Times New Roman" w:cs="Times New Roman"/>
          <w:color w:val="0D0D0D" w:themeColor="text1" w:themeTint="F2"/>
          <w:sz w:val="24"/>
          <w:szCs w:val="24"/>
        </w:rPr>
        <w:t>(U.S. National Park Service, 2006).</w:t>
      </w:r>
    </w:p>
    <w:p w:rsidR="00F17E02" w:rsidRPr="003E499A" w:rsidRDefault="00F17E02" w:rsidP="00AE662D">
      <w:pPr>
        <w:spacing w:line="240" w:lineRule="auto"/>
        <w:rPr>
          <w:rFonts w:ascii="Times New Roman" w:hAnsi="Times New Roman" w:cs="Times New Roman"/>
          <w:color w:val="0D0D0D" w:themeColor="text1" w:themeTint="F2"/>
          <w:sz w:val="24"/>
          <w:szCs w:val="24"/>
        </w:rPr>
      </w:pPr>
      <w:r w:rsidRPr="003E499A">
        <w:rPr>
          <w:rFonts w:ascii="Times New Roman" w:hAnsi="Times New Roman" w:cs="Times New Roman"/>
          <w:color w:val="0D0D0D" w:themeColor="text1" w:themeTint="F2"/>
          <w:sz w:val="24"/>
          <w:szCs w:val="24"/>
        </w:rPr>
        <w:t>The general public does participate in policy-making processes. The Administrative Procedure Act requires the NPS to give the public an opportunity to comment on major policy decisions that will affect them, however, has imposed no obligation to seek public opinions on operational matters that are likely of no or limited interest to them.</w:t>
      </w:r>
    </w:p>
    <w:p w:rsidR="00F17E02" w:rsidRPr="003E499A" w:rsidRDefault="008153F6" w:rsidP="00806A18">
      <w:pPr>
        <w:pStyle w:val="Heading3"/>
        <w:spacing w:line="240" w:lineRule="auto"/>
      </w:pPr>
      <w:bookmarkStart w:id="38" w:name="_Hlk114428726"/>
      <w:r>
        <w:t>Comparative analysis</w:t>
      </w:r>
      <w:r w:rsidR="00F17E02" w:rsidRPr="003E499A">
        <w:t xml:space="preserve"> on</w:t>
      </w:r>
      <w:r>
        <w:t xml:space="preserve"> conservation</w:t>
      </w:r>
      <w:r w:rsidR="00F17E02" w:rsidRPr="003E499A">
        <w:t xml:space="preserve"> </w:t>
      </w:r>
      <w:bookmarkStart w:id="39" w:name="_Hlk117994017"/>
      <w:r w:rsidR="00F17E02" w:rsidRPr="003E499A">
        <w:t>policy environment and legal instruments</w:t>
      </w:r>
      <w:r>
        <w:t xml:space="preserve"> of the DRC, Rwanda, Uganda, and the USA</w:t>
      </w:r>
    </w:p>
    <w:p w:rsidR="00F17E02" w:rsidRDefault="00F17E02" w:rsidP="00F17E02">
      <w:pPr>
        <w:spacing w:line="240" w:lineRule="auto"/>
        <w:rPr>
          <w:rFonts w:ascii="Times New Roman" w:hAnsi="Times New Roman" w:cs="Times New Roman"/>
          <w:sz w:val="24"/>
          <w:szCs w:val="24"/>
        </w:rPr>
      </w:pPr>
      <w:bookmarkStart w:id="40" w:name="_Hlk118129132"/>
      <w:bookmarkEnd w:id="38"/>
      <w:bookmarkEnd w:id="39"/>
      <w:r>
        <w:rPr>
          <w:rFonts w:ascii="Times New Roman" w:hAnsi="Times New Roman" w:cs="Times New Roman"/>
          <w:sz w:val="24"/>
          <w:szCs w:val="24"/>
        </w:rPr>
        <w:t>Considering the existence of legal instruments creating PAs, establishing their managing institutions, and addressing other key aspects of conservation such as deforestation prevention, halting species extinction, climate change mitigation, etc., t</w:t>
      </w:r>
      <w:r w:rsidRPr="003E499A">
        <w:rPr>
          <w:rFonts w:ascii="Times New Roman" w:hAnsi="Times New Roman" w:cs="Times New Roman"/>
          <w:sz w:val="24"/>
          <w:szCs w:val="24"/>
        </w:rPr>
        <w:t xml:space="preserve">he DRC, Rwanda, and Uganda </w:t>
      </w:r>
      <w:r w:rsidR="00744950">
        <w:rPr>
          <w:rFonts w:ascii="Times New Roman" w:hAnsi="Times New Roman" w:cs="Times New Roman"/>
          <w:sz w:val="24"/>
          <w:szCs w:val="24"/>
        </w:rPr>
        <w:t xml:space="preserve">all </w:t>
      </w:r>
      <w:r w:rsidRPr="003E499A">
        <w:rPr>
          <w:rFonts w:ascii="Times New Roman" w:hAnsi="Times New Roman" w:cs="Times New Roman"/>
          <w:sz w:val="24"/>
          <w:szCs w:val="24"/>
        </w:rPr>
        <w:t>possess</w:t>
      </w:r>
      <w:bookmarkEnd w:id="40"/>
      <w:r w:rsidRPr="003E499A">
        <w:rPr>
          <w:rFonts w:ascii="Times New Roman" w:hAnsi="Times New Roman" w:cs="Times New Roman"/>
          <w:sz w:val="24"/>
          <w:szCs w:val="24"/>
        </w:rPr>
        <w:t xml:space="preserve"> </w:t>
      </w:r>
      <w:r w:rsidR="00744950">
        <w:rPr>
          <w:rFonts w:ascii="Times New Roman" w:hAnsi="Times New Roman" w:cs="Times New Roman"/>
          <w:sz w:val="24"/>
          <w:szCs w:val="24"/>
        </w:rPr>
        <w:t>the foundation</w:t>
      </w:r>
      <w:r w:rsidRPr="003E499A">
        <w:rPr>
          <w:rFonts w:ascii="Times New Roman" w:hAnsi="Times New Roman" w:cs="Times New Roman"/>
          <w:sz w:val="24"/>
          <w:szCs w:val="24"/>
        </w:rPr>
        <w:t xml:space="preserve"> for conservation policy environment</w:t>
      </w:r>
      <w:r w:rsidR="00744950">
        <w:rPr>
          <w:rFonts w:ascii="Times New Roman" w:hAnsi="Times New Roman" w:cs="Times New Roman"/>
          <w:sz w:val="24"/>
          <w:szCs w:val="24"/>
        </w:rPr>
        <w:t xml:space="preserve"> to</w:t>
      </w:r>
      <w:r w:rsidRPr="003E499A">
        <w:rPr>
          <w:rFonts w:ascii="Times New Roman" w:hAnsi="Times New Roman" w:cs="Times New Roman"/>
          <w:sz w:val="24"/>
          <w:szCs w:val="24"/>
        </w:rPr>
        <w:t xml:space="preserve"> help guide and channel their conservation efforts towards ecological prosperity and socio-economic sustainability. </w:t>
      </w:r>
      <w:r w:rsidR="002D3089" w:rsidRPr="003E499A">
        <w:rPr>
          <w:rFonts w:ascii="Times New Roman" w:hAnsi="Times New Roman" w:cs="Times New Roman"/>
          <w:sz w:val="24"/>
          <w:szCs w:val="24"/>
        </w:rPr>
        <w:t xml:space="preserve">Looking at Figure </w:t>
      </w:r>
      <w:r w:rsidR="009D3F68">
        <w:rPr>
          <w:rFonts w:ascii="Times New Roman" w:hAnsi="Times New Roman" w:cs="Times New Roman"/>
          <w:sz w:val="24"/>
          <w:szCs w:val="24"/>
        </w:rPr>
        <w:t>3.</w:t>
      </w:r>
      <w:r w:rsidR="002D3089" w:rsidRPr="003E499A">
        <w:rPr>
          <w:rFonts w:ascii="Times New Roman" w:hAnsi="Times New Roman" w:cs="Times New Roman"/>
          <w:sz w:val="24"/>
          <w:szCs w:val="24"/>
        </w:rPr>
        <w:t xml:space="preserve">1 which portrays the chronological establishment </w:t>
      </w:r>
      <w:r w:rsidR="002D3089" w:rsidRPr="003E499A">
        <w:rPr>
          <w:rFonts w:ascii="Times New Roman" w:hAnsi="Times New Roman" w:cs="Times New Roman"/>
          <w:color w:val="0D0D0D" w:themeColor="text1" w:themeTint="F2"/>
          <w:sz w:val="24"/>
          <w:szCs w:val="24"/>
        </w:rPr>
        <w:t>of major conservation</w:t>
      </w:r>
      <w:r w:rsidR="002D3089" w:rsidRPr="003E499A">
        <w:rPr>
          <w:rFonts w:ascii="Times New Roman" w:hAnsi="Times New Roman" w:cs="Times New Roman"/>
          <w:sz w:val="24"/>
          <w:szCs w:val="24"/>
        </w:rPr>
        <w:t xml:space="preserve"> polic</w:t>
      </w:r>
      <w:r w:rsidR="002D3089">
        <w:rPr>
          <w:rFonts w:ascii="Times New Roman" w:hAnsi="Times New Roman" w:cs="Times New Roman"/>
          <w:sz w:val="24"/>
          <w:szCs w:val="24"/>
        </w:rPr>
        <w:t>ies</w:t>
      </w:r>
      <w:r w:rsidR="002D3089" w:rsidRPr="003E499A">
        <w:rPr>
          <w:rFonts w:ascii="Times New Roman" w:hAnsi="Times New Roman" w:cs="Times New Roman"/>
          <w:sz w:val="24"/>
          <w:szCs w:val="24"/>
        </w:rPr>
        <w:t xml:space="preserve"> and legal instruments in DRC, Rwanda, Uganda, and </w:t>
      </w:r>
      <w:r w:rsidR="002D3089">
        <w:rPr>
          <w:rFonts w:ascii="Times New Roman" w:hAnsi="Times New Roman" w:cs="Times New Roman"/>
          <w:sz w:val="24"/>
          <w:szCs w:val="24"/>
        </w:rPr>
        <w:t xml:space="preserve">the </w:t>
      </w:r>
      <w:r w:rsidR="002D3089" w:rsidRPr="003E499A">
        <w:rPr>
          <w:rFonts w:ascii="Times New Roman" w:hAnsi="Times New Roman" w:cs="Times New Roman"/>
          <w:sz w:val="24"/>
          <w:szCs w:val="24"/>
        </w:rPr>
        <w:t>USA</w:t>
      </w:r>
      <w:r w:rsidR="002D3089">
        <w:rPr>
          <w:rFonts w:ascii="Times New Roman" w:hAnsi="Times New Roman" w:cs="Times New Roman"/>
          <w:sz w:val="24"/>
          <w:szCs w:val="24"/>
        </w:rPr>
        <w:t>, t</w:t>
      </w:r>
      <w:r>
        <w:rPr>
          <w:rFonts w:ascii="Times New Roman" w:hAnsi="Times New Roman" w:cs="Times New Roman"/>
          <w:sz w:val="24"/>
          <w:szCs w:val="24"/>
        </w:rPr>
        <w:t>he predominance of pieces of legislation</w:t>
      </w:r>
      <w:r w:rsidRPr="00C301DE">
        <w:rPr>
          <w:rFonts w:ascii="Times New Roman" w:hAnsi="Times New Roman" w:cs="Times New Roman"/>
          <w:sz w:val="24"/>
          <w:szCs w:val="24"/>
        </w:rPr>
        <w:t xml:space="preserve"> establish</w:t>
      </w:r>
      <w:r>
        <w:rPr>
          <w:rFonts w:ascii="Times New Roman" w:hAnsi="Times New Roman" w:cs="Times New Roman"/>
          <w:sz w:val="24"/>
          <w:szCs w:val="24"/>
        </w:rPr>
        <w:t xml:space="preserve">ed during </w:t>
      </w:r>
      <w:r w:rsidRPr="00C301DE">
        <w:rPr>
          <w:rFonts w:ascii="Times New Roman" w:hAnsi="Times New Roman" w:cs="Times New Roman"/>
          <w:sz w:val="24"/>
          <w:szCs w:val="24"/>
        </w:rPr>
        <w:t xml:space="preserve">the </w:t>
      </w:r>
      <w:r>
        <w:rPr>
          <w:rFonts w:ascii="Times New Roman" w:hAnsi="Times New Roman" w:cs="Times New Roman"/>
          <w:sz w:val="24"/>
          <w:szCs w:val="24"/>
        </w:rPr>
        <w:t xml:space="preserve">most </w:t>
      </w:r>
      <w:r w:rsidRPr="00C301DE">
        <w:rPr>
          <w:rFonts w:ascii="Times New Roman" w:hAnsi="Times New Roman" w:cs="Times New Roman"/>
          <w:sz w:val="24"/>
          <w:szCs w:val="24"/>
        </w:rPr>
        <w:t xml:space="preserve">recent </w:t>
      </w:r>
      <w:r>
        <w:rPr>
          <w:rFonts w:ascii="Times New Roman" w:hAnsi="Times New Roman" w:cs="Times New Roman"/>
          <w:sz w:val="24"/>
          <w:szCs w:val="24"/>
        </w:rPr>
        <w:t xml:space="preserve">two </w:t>
      </w:r>
      <w:r w:rsidRPr="00C301DE">
        <w:rPr>
          <w:rFonts w:ascii="Times New Roman" w:hAnsi="Times New Roman" w:cs="Times New Roman"/>
          <w:sz w:val="24"/>
          <w:szCs w:val="24"/>
        </w:rPr>
        <w:t>decades indicate</w:t>
      </w:r>
      <w:r>
        <w:rPr>
          <w:rFonts w:ascii="Times New Roman" w:hAnsi="Times New Roman" w:cs="Times New Roman"/>
          <w:sz w:val="24"/>
          <w:szCs w:val="24"/>
        </w:rPr>
        <w:t>s an increased</w:t>
      </w:r>
      <w:r w:rsidRPr="00C301DE">
        <w:rPr>
          <w:rFonts w:ascii="Times New Roman" w:hAnsi="Times New Roman" w:cs="Times New Roman"/>
          <w:sz w:val="24"/>
          <w:szCs w:val="24"/>
        </w:rPr>
        <w:t xml:space="preserve"> </w:t>
      </w:r>
      <w:r>
        <w:rPr>
          <w:rFonts w:ascii="Times New Roman" w:hAnsi="Times New Roman" w:cs="Times New Roman"/>
          <w:sz w:val="24"/>
          <w:szCs w:val="24"/>
        </w:rPr>
        <w:t>awareness,</w:t>
      </w:r>
      <w:r w:rsidR="002D3089">
        <w:rPr>
          <w:rFonts w:ascii="Times New Roman" w:hAnsi="Times New Roman" w:cs="Times New Roman"/>
          <w:sz w:val="24"/>
          <w:szCs w:val="24"/>
        </w:rPr>
        <w:t xml:space="preserve"> </w:t>
      </w:r>
      <w:r>
        <w:rPr>
          <w:rFonts w:ascii="Times New Roman" w:hAnsi="Times New Roman" w:cs="Times New Roman"/>
          <w:sz w:val="24"/>
          <w:szCs w:val="24"/>
        </w:rPr>
        <w:t>political will</w:t>
      </w:r>
      <w:r w:rsidR="002D3089">
        <w:rPr>
          <w:rFonts w:ascii="Times New Roman" w:hAnsi="Times New Roman" w:cs="Times New Roman"/>
          <w:sz w:val="24"/>
          <w:szCs w:val="24"/>
        </w:rPr>
        <w:t xml:space="preserve">, and </w:t>
      </w:r>
      <w:r w:rsidR="002D3089" w:rsidRPr="00C301DE">
        <w:rPr>
          <w:rFonts w:ascii="Times New Roman" w:hAnsi="Times New Roman" w:cs="Times New Roman"/>
          <w:sz w:val="24"/>
          <w:szCs w:val="24"/>
        </w:rPr>
        <w:t>dynamism</w:t>
      </w:r>
      <w:r>
        <w:rPr>
          <w:rFonts w:ascii="Times New Roman" w:hAnsi="Times New Roman" w:cs="Times New Roman"/>
          <w:sz w:val="24"/>
          <w:szCs w:val="24"/>
        </w:rPr>
        <w:t xml:space="preserve"> to </w:t>
      </w:r>
      <w:r w:rsidR="002D3089">
        <w:rPr>
          <w:rFonts w:ascii="Times New Roman" w:hAnsi="Times New Roman" w:cs="Times New Roman"/>
          <w:sz w:val="24"/>
          <w:szCs w:val="24"/>
        </w:rPr>
        <w:t>take conservation sector to the new heights</w:t>
      </w:r>
      <w:r>
        <w:rPr>
          <w:rFonts w:ascii="Times New Roman" w:hAnsi="Times New Roman" w:cs="Times New Roman"/>
          <w:sz w:val="24"/>
          <w:szCs w:val="24"/>
        </w:rPr>
        <w:t>.</w:t>
      </w:r>
      <w:r w:rsidRPr="00C301DE">
        <w:rPr>
          <w:rFonts w:ascii="Times New Roman" w:hAnsi="Times New Roman" w:cs="Times New Roman"/>
          <w:sz w:val="24"/>
          <w:szCs w:val="24"/>
        </w:rPr>
        <w:t xml:space="preserve"> </w:t>
      </w:r>
      <w:r w:rsidR="002D3089">
        <w:rPr>
          <w:rFonts w:ascii="Times New Roman" w:hAnsi="Times New Roman" w:cs="Times New Roman"/>
          <w:sz w:val="24"/>
          <w:szCs w:val="24"/>
        </w:rPr>
        <w:t xml:space="preserve">Table </w:t>
      </w:r>
      <w:r w:rsidR="004129E8">
        <w:rPr>
          <w:rFonts w:ascii="Times New Roman" w:hAnsi="Times New Roman" w:cs="Times New Roman"/>
          <w:sz w:val="24"/>
          <w:szCs w:val="24"/>
        </w:rPr>
        <w:t>3.</w:t>
      </w:r>
      <w:r w:rsidR="002D3089">
        <w:rPr>
          <w:rFonts w:ascii="Times New Roman" w:hAnsi="Times New Roman" w:cs="Times New Roman"/>
          <w:sz w:val="24"/>
          <w:szCs w:val="24"/>
        </w:rPr>
        <w:t>1-</w:t>
      </w:r>
      <w:r w:rsidR="004129E8">
        <w:rPr>
          <w:rFonts w:ascii="Times New Roman" w:hAnsi="Times New Roman" w:cs="Times New Roman"/>
          <w:sz w:val="24"/>
          <w:szCs w:val="24"/>
        </w:rPr>
        <w:t>3.</w:t>
      </w:r>
      <w:r w:rsidR="0041596F">
        <w:rPr>
          <w:rFonts w:ascii="Times New Roman" w:hAnsi="Times New Roman" w:cs="Times New Roman"/>
          <w:sz w:val="24"/>
          <w:szCs w:val="24"/>
        </w:rPr>
        <w:t xml:space="preserve">4 </w:t>
      </w:r>
      <w:r w:rsidR="003310F1">
        <w:rPr>
          <w:rFonts w:ascii="Times New Roman" w:hAnsi="Times New Roman" w:cs="Times New Roman"/>
          <w:sz w:val="24"/>
          <w:szCs w:val="24"/>
        </w:rPr>
        <w:t xml:space="preserve">and more </w:t>
      </w:r>
      <w:r w:rsidR="003310F1" w:rsidRPr="00132367">
        <w:rPr>
          <w:rFonts w:ascii="Times New Roman" w:hAnsi="Times New Roman" w:cs="Times New Roman"/>
          <w:sz w:val="24"/>
          <w:szCs w:val="24"/>
        </w:rPr>
        <w:t xml:space="preserve">explicitly Appendix I </w:t>
      </w:r>
      <w:r w:rsidR="0041596F" w:rsidRPr="00132367">
        <w:rPr>
          <w:rFonts w:ascii="Times New Roman" w:hAnsi="Times New Roman" w:cs="Times New Roman"/>
          <w:sz w:val="24"/>
          <w:szCs w:val="24"/>
        </w:rPr>
        <w:t>show</w:t>
      </w:r>
      <w:r w:rsidR="0041596F">
        <w:rPr>
          <w:rFonts w:ascii="Times New Roman" w:hAnsi="Times New Roman" w:cs="Times New Roman"/>
          <w:sz w:val="24"/>
          <w:szCs w:val="24"/>
        </w:rPr>
        <w:t xml:space="preserve"> that contrary to the USA</w:t>
      </w:r>
      <w:r w:rsidRPr="003E499A">
        <w:rPr>
          <w:rFonts w:ascii="Times New Roman" w:hAnsi="Times New Roman" w:cs="Times New Roman"/>
          <w:sz w:val="24"/>
          <w:szCs w:val="24"/>
        </w:rPr>
        <w:t xml:space="preserve">, </w:t>
      </w:r>
      <w:r w:rsidR="0041596F">
        <w:rPr>
          <w:rFonts w:ascii="Times New Roman" w:hAnsi="Times New Roman" w:cs="Times New Roman"/>
          <w:sz w:val="24"/>
          <w:szCs w:val="24"/>
        </w:rPr>
        <w:t xml:space="preserve">DRC, Rwanda, and Uganda </w:t>
      </w:r>
      <w:r>
        <w:rPr>
          <w:rFonts w:ascii="Times New Roman" w:hAnsi="Times New Roman" w:cs="Times New Roman"/>
          <w:sz w:val="24"/>
          <w:szCs w:val="24"/>
        </w:rPr>
        <w:t xml:space="preserve">still </w:t>
      </w:r>
      <w:r w:rsidRPr="003E499A">
        <w:rPr>
          <w:rFonts w:ascii="Times New Roman" w:hAnsi="Times New Roman" w:cs="Times New Roman"/>
          <w:sz w:val="24"/>
          <w:szCs w:val="24"/>
        </w:rPr>
        <w:t>lack policies governing the preservation of their historic, cultural, and geological resources.</w:t>
      </w:r>
      <w:r w:rsidR="0041596F">
        <w:rPr>
          <w:rFonts w:ascii="Times New Roman" w:hAnsi="Times New Roman" w:cs="Times New Roman"/>
          <w:sz w:val="24"/>
          <w:szCs w:val="24"/>
        </w:rPr>
        <w:t xml:space="preserve"> From Figure </w:t>
      </w:r>
      <w:r w:rsidR="003310F1">
        <w:rPr>
          <w:rFonts w:ascii="Times New Roman" w:hAnsi="Times New Roman" w:cs="Times New Roman"/>
          <w:sz w:val="24"/>
          <w:szCs w:val="24"/>
        </w:rPr>
        <w:t>3.</w:t>
      </w:r>
      <w:r w:rsidR="0041596F">
        <w:rPr>
          <w:rFonts w:ascii="Times New Roman" w:hAnsi="Times New Roman" w:cs="Times New Roman"/>
          <w:sz w:val="24"/>
          <w:szCs w:val="24"/>
        </w:rPr>
        <w:t>2,</w:t>
      </w:r>
      <w:r w:rsidRPr="003E499A">
        <w:rPr>
          <w:rFonts w:ascii="Times New Roman" w:hAnsi="Times New Roman" w:cs="Times New Roman"/>
          <w:sz w:val="24"/>
          <w:szCs w:val="24"/>
        </w:rPr>
        <w:t xml:space="preserve"> </w:t>
      </w:r>
      <w:r w:rsidR="0041596F">
        <w:rPr>
          <w:rFonts w:ascii="Times New Roman" w:hAnsi="Times New Roman" w:cs="Times New Roman"/>
          <w:sz w:val="24"/>
          <w:szCs w:val="24"/>
        </w:rPr>
        <w:t>s</w:t>
      </w:r>
      <w:r w:rsidRPr="003E499A">
        <w:rPr>
          <w:rFonts w:ascii="Times New Roman" w:hAnsi="Times New Roman" w:cs="Times New Roman"/>
          <w:sz w:val="24"/>
          <w:szCs w:val="24"/>
        </w:rPr>
        <w:t xml:space="preserve">ome elements become immediately </w:t>
      </w:r>
      <w:r>
        <w:rPr>
          <w:rFonts w:ascii="Times New Roman" w:hAnsi="Times New Roman" w:cs="Times New Roman"/>
          <w:sz w:val="24"/>
          <w:szCs w:val="24"/>
        </w:rPr>
        <w:t>apparent</w:t>
      </w:r>
      <w:r w:rsidRPr="003E499A">
        <w:rPr>
          <w:rFonts w:ascii="Times New Roman" w:hAnsi="Times New Roman" w:cs="Times New Roman"/>
          <w:sz w:val="24"/>
          <w:szCs w:val="24"/>
        </w:rPr>
        <w:t xml:space="preserve">: </w:t>
      </w:r>
      <w:r w:rsidRPr="00507D6D">
        <w:rPr>
          <w:rFonts w:ascii="Times New Roman" w:hAnsi="Times New Roman" w:cs="Times New Roman"/>
          <w:sz w:val="24"/>
          <w:szCs w:val="24"/>
        </w:rPr>
        <w:t xml:space="preserve">On one hand, the </w:t>
      </w:r>
      <w:r w:rsidR="009C6FA3" w:rsidRPr="00507D6D">
        <w:rPr>
          <w:rFonts w:ascii="Times New Roman" w:hAnsi="Times New Roman" w:cs="Times New Roman"/>
          <w:sz w:val="24"/>
          <w:szCs w:val="24"/>
        </w:rPr>
        <w:t xml:space="preserve">lucidity, stability, uniqueness, and coherence </w:t>
      </w:r>
      <w:r w:rsidRPr="00507D6D">
        <w:rPr>
          <w:rFonts w:ascii="Times New Roman" w:hAnsi="Times New Roman" w:cs="Times New Roman"/>
          <w:sz w:val="24"/>
          <w:szCs w:val="24"/>
        </w:rPr>
        <w:t xml:space="preserve">of the USA’s conservation policy environment and legal instruments </w:t>
      </w:r>
      <w:r w:rsidR="009C6FA3" w:rsidRPr="00507D6D">
        <w:rPr>
          <w:rFonts w:ascii="Times New Roman" w:hAnsi="Times New Roman" w:cs="Times New Roman"/>
          <w:sz w:val="24"/>
          <w:szCs w:val="24"/>
        </w:rPr>
        <w:t>are</w:t>
      </w:r>
      <w:r w:rsidR="00B33F9D" w:rsidRPr="00507D6D">
        <w:rPr>
          <w:rFonts w:ascii="Times New Roman" w:hAnsi="Times New Roman" w:cs="Times New Roman"/>
          <w:sz w:val="24"/>
          <w:szCs w:val="24"/>
        </w:rPr>
        <w:t xml:space="preserve"> consecutively</w:t>
      </w:r>
      <w:r w:rsidR="009C6FA3" w:rsidRPr="00507D6D">
        <w:rPr>
          <w:rFonts w:ascii="Times New Roman" w:hAnsi="Times New Roman" w:cs="Times New Roman"/>
          <w:sz w:val="24"/>
          <w:szCs w:val="24"/>
        </w:rPr>
        <w:t xml:space="preserve"> highlighted by </w:t>
      </w:r>
      <w:r w:rsidR="00B33F9D" w:rsidRPr="00507D6D">
        <w:rPr>
          <w:rFonts w:ascii="Times New Roman" w:hAnsi="Times New Roman" w:cs="Times New Roman"/>
          <w:sz w:val="24"/>
          <w:szCs w:val="24"/>
        </w:rPr>
        <w:t>high</w:t>
      </w:r>
      <w:r w:rsidR="009C6FA3" w:rsidRPr="00507D6D">
        <w:rPr>
          <w:rFonts w:ascii="Times New Roman" w:hAnsi="Times New Roman" w:cs="Times New Roman"/>
          <w:sz w:val="24"/>
          <w:szCs w:val="24"/>
        </w:rPr>
        <w:t xml:space="preserve"> </w:t>
      </w:r>
      <w:bookmarkStart w:id="41" w:name="_Hlk134537185"/>
      <w:r w:rsidR="003310F1">
        <w:rPr>
          <w:rFonts w:ascii="Times New Roman" w:hAnsi="Times New Roman" w:cs="Times New Roman"/>
          <w:sz w:val="24"/>
          <w:szCs w:val="24"/>
        </w:rPr>
        <w:t>Comprehensiveness</w:t>
      </w:r>
      <w:r w:rsidR="00B33F9D" w:rsidRPr="00507D6D">
        <w:rPr>
          <w:rFonts w:ascii="Times New Roman" w:hAnsi="Times New Roman" w:cs="Times New Roman"/>
          <w:sz w:val="24"/>
          <w:szCs w:val="24"/>
        </w:rPr>
        <w:t xml:space="preserve"> index, and lower Repeal, Duplication, and Contradiction indexes</w:t>
      </w:r>
      <w:bookmarkEnd w:id="41"/>
      <w:r w:rsidRPr="003E499A">
        <w:rPr>
          <w:rFonts w:ascii="Times New Roman" w:hAnsi="Times New Roman" w:cs="Times New Roman"/>
          <w:sz w:val="24"/>
          <w:szCs w:val="24"/>
        </w:rPr>
        <w:t>. The</w:t>
      </w:r>
      <w:r>
        <w:rPr>
          <w:rFonts w:ascii="Times New Roman" w:hAnsi="Times New Roman" w:cs="Times New Roman"/>
          <w:sz w:val="24"/>
          <w:szCs w:val="24"/>
        </w:rPr>
        <w:t>y cover nearly every aspect of biodiversity conservation, environmental protection, safe disposal of pollutants, PAs system consolidation, and better management of cemeteries.</w:t>
      </w:r>
      <w:r w:rsidRPr="003E499A">
        <w:rPr>
          <w:rFonts w:ascii="Times New Roman" w:hAnsi="Times New Roman" w:cs="Times New Roman"/>
          <w:sz w:val="24"/>
          <w:szCs w:val="24"/>
        </w:rPr>
        <w:t xml:space="preserve"> </w:t>
      </w:r>
      <w:r w:rsidR="007F4B47">
        <w:rPr>
          <w:rFonts w:ascii="Times New Roman" w:hAnsi="Times New Roman" w:cs="Times New Roman"/>
          <w:sz w:val="24"/>
          <w:szCs w:val="24"/>
        </w:rPr>
        <w:t>As per Figure 3.1, t</w:t>
      </w:r>
      <w:r>
        <w:rPr>
          <w:rFonts w:ascii="Times New Roman" w:hAnsi="Times New Roman" w:cs="Times New Roman"/>
          <w:sz w:val="24"/>
          <w:szCs w:val="24"/>
        </w:rPr>
        <w:t xml:space="preserve">he USA’s conservation </w:t>
      </w:r>
      <w:r w:rsidRPr="003E499A">
        <w:rPr>
          <w:rFonts w:ascii="Times New Roman" w:hAnsi="Times New Roman" w:cs="Times New Roman"/>
          <w:sz w:val="24"/>
          <w:szCs w:val="24"/>
        </w:rPr>
        <w:t xml:space="preserve">policy instruments clearly extend over a longer period of time, which indicates </w:t>
      </w:r>
      <w:r w:rsidR="00F87850">
        <w:rPr>
          <w:rFonts w:ascii="Times New Roman" w:hAnsi="Times New Roman" w:cs="Times New Roman"/>
          <w:sz w:val="24"/>
          <w:szCs w:val="24"/>
        </w:rPr>
        <w:t>seniority</w:t>
      </w:r>
      <w:r w:rsidRPr="003E499A">
        <w:rPr>
          <w:rFonts w:ascii="Times New Roman" w:hAnsi="Times New Roman" w:cs="Times New Roman"/>
          <w:sz w:val="24"/>
          <w:szCs w:val="24"/>
        </w:rPr>
        <w:t xml:space="preserve"> and </w:t>
      </w:r>
      <w:r>
        <w:rPr>
          <w:rFonts w:ascii="Times New Roman" w:hAnsi="Times New Roman" w:cs="Times New Roman"/>
          <w:sz w:val="24"/>
          <w:szCs w:val="24"/>
        </w:rPr>
        <w:t xml:space="preserve">hope for </w:t>
      </w:r>
      <w:r w:rsidRPr="003E499A">
        <w:rPr>
          <w:rFonts w:ascii="Times New Roman" w:hAnsi="Times New Roman" w:cs="Times New Roman"/>
          <w:sz w:val="24"/>
          <w:szCs w:val="24"/>
        </w:rPr>
        <w:t xml:space="preserve">stability. On the other hand, the duplication of the same policy instruments, frequent repealing, </w:t>
      </w:r>
      <w:r>
        <w:rPr>
          <w:rFonts w:ascii="Times New Roman" w:hAnsi="Times New Roman" w:cs="Times New Roman"/>
          <w:sz w:val="24"/>
          <w:szCs w:val="24"/>
        </w:rPr>
        <w:t xml:space="preserve">and inadequate coordination of managing agencies are most present in the case of </w:t>
      </w:r>
      <w:r w:rsidRPr="003E499A">
        <w:rPr>
          <w:rFonts w:ascii="Times New Roman" w:hAnsi="Times New Roman" w:cs="Times New Roman"/>
          <w:sz w:val="24"/>
          <w:szCs w:val="24"/>
        </w:rPr>
        <w:t>DRC, Rwanda, and Uganda’s conservation policies compared to the USA’s.</w:t>
      </w:r>
    </w:p>
    <w:p w:rsidR="00A94779" w:rsidRPr="005F4539" w:rsidRDefault="00914BDA" w:rsidP="00F17E02">
      <w:pPr>
        <w:spacing w:line="240" w:lineRule="auto"/>
        <w:rPr>
          <w:rFonts w:ascii="Times New Roman" w:hAnsi="Times New Roman" w:cs="Times New Roman"/>
          <w:sz w:val="24"/>
          <w:szCs w:val="24"/>
        </w:rPr>
      </w:pPr>
      <w:r w:rsidRPr="00E90731">
        <w:rPr>
          <w:rFonts w:ascii="Times New Roman" w:hAnsi="Times New Roman" w:cs="Times New Roman"/>
          <w:sz w:val="24"/>
          <w:szCs w:val="24"/>
        </w:rPr>
        <w:t>Among the four countries, Uganda</w:t>
      </w:r>
      <w:r w:rsidR="00904D6F" w:rsidRPr="00E90731">
        <w:rPr>
          <w:rFonts w:ascii="Times New Roman" w:hAnsi="Times New Roman" w:cs="Times New Roman"/>
          <w:sz w:val="24"/>
          <w:szCs w:val="24"/>
        </w:rPr>
        <w:t xml:space="preserve">, DRC, and Rwanda’s </w:t>
      </w:r>
      <w:r w:rsidRPr="00E90731">
        <w:rPr>
          <w:rFonts w:ascii="Times New Roman" w:hAnsi="Times New Roman" w:cs="Times New Roman"/>
          <w:sz w:val="24"/>
          <w:szCs w:val="24"/>
        </w:rPr>
        <w:t>PAs</w:t>
      </w:r>
      <w:r w:rsidR="000477FA" w:rsidRPr="00E90731">
        <w:rPr>
          <w:rFonts w:ascii="Times New Roman" w:hAnsi="Times New Roman" w:cs="Times New Roman"/>
          <w:sz w:val="24"/>
          <w:szCs w:val="24"/>
        </w:rPr>
        <w:t xml:space="preserve"> conservation policy environment ha</w:t>
      </w:r>
      <w:r w:rsidR="00904D6F" w:rsidRPr="00E90731">
        <w:rPr>
          <w:rFonts w:ascii="Times New Roman" w:hAnsi="Times New Roman" w:cs="Times New Roman"/>
          <w:sz w:val="24"/>
          <w:szCs w:val="24"/>
        </w:rPr>
        <w:t>ve</w:t>
      </w:r>
      <w:r w:rsidR="000477FA" w:rsidRPr="00E90731">
        <w:rPr>
          <w:rFonts w:ascii="Times New Roman" w:hAnsi="Times New Roman" w:cs="Times New Roman"/>
          <w:sz w:val="24"/>
          <w:szCs w:val="24"/>
        </w:rPr>
        <w:t xml:space="preserve"> </w:t>
      </w:r>
      <w:r w:rsidR="00904D6F" w:rsidRPr="00E90731">
        <w:rPr>
          <w:rFonts w:ascii="Times New Roman" w:hAnsi="Times New Roman" w:cs="Times New Roman"/>
          <w:sz w:val="24"/>
          <w:szCs w:val="24"/>
        </w:rPr>
        <w:t>lower</w:t>
      </w:r>
      <w:r w:rsidR="000477FA" w:rsidRPr="00E90731">
        <w:rPr>
          <w:rFonts w:ascii="Times New Roman" w:hAnsi="Times New Roman" w:cs="Times New Roman"/>
          <w:sz w:val="24"/>
          <w:szCs w:val="24"/>
        </w:rPr>
        <w:t xml:space="preserve"> </w:t>
      </w:r>
      <w:r w:rsidRPr="00E90731">
        <w:rPr>
          <w:rFonts w:ascii="Times New Roman" w:hAnsi="Times New Roman" w:cs="Times New Roman"/>
          <w:sz w:val="24"/>
          <w:szCs w:val="24"/>
        </w:rPr>
        <w:t>Comprehensiveness</w:t>
      </w:r>
      <w:r w:rsidR="000477FA" w:rsidRPr="00E90731">
        <w:rPr>
          <w:rFonts w:ascii="Times New Roman" w:hAnsi="Times New Roman" w:cs="Times New Roman"/>
          <w:sz w:val="24"/>
          <w:szCs w:val="24"/>
        </w:rPr>
        <w:t xml:space="preserve"> index (0.5</w:t>
      </w:r>
      <w:r w:rsidRPr="00E90731">
        <w:rPr>
          <w:rFonts w:ascii="Times New Roman" w:hAnsi="Times New Roman" w:cs="Times New Roman"/>
          <w:sz w:val="24"/>
          <w:szCs w:val="24"/>
        </w:rPr>
        <w:t>0</w:t>
      </w:r>
      <w:r w:rsidR="000477FA" w:rsidRPr="00E90731">
        <w:rPr>
          <w:rFonts w:ascii="Times New Roman" w:hAnsi="Times New Roman" w:cs="Times New Roman"/>
          <w:sz w:val="24"/>
          <w:szCs w:val="24"/>
        </w:rPr>
        <w:t>)</w:t>
      </w:r>
      <w:r w:rsidR="00904D6F" w:rsidRPr="00E90731">
        <w:rPr>
          <w:rFonts w:ascii="Times New Roman" w:hAnsi="Times New Roman" w:cs="Times New Roman"/>
          <w:sz w:val="24"/>
          <w:szCs w:val="24"/>
        </w:rPr>
        <w:t xml:space="preserve">, </w:t>
      </w:r>
      <w:r w:rsidRPr="00E90731">
        <w:rPr>
          <w:rFonts w:ascii="Times New Roman" w:hAnsi="Times New Roman" w:cs="Times New Roman"/>
          <w:sz w:val="24"/>
          <w:szCs w:val="24"/>
        </w:rPr>
        <w:t xml:space="preserve">(0.59), </w:t>
      </w:r>
      <w:r w:rsidR="00904D6F" w:rsidRPr="00E90731">
        <w:rPr>
          <w:rFonts w:ascii="Times New Roman" w:hAnsi="Times New Roman" w:cs="Times New Roman"/>
          <w:sz w:val="24"/>
          <w:szCs w:val="24"/>
        </w:rPr>
        <w:t xml:space="preserve">and </w:t>
      </w:r>
      <w:r w:rsidRPr="00E90731">
        <w:rPr>
          <w:rFonts w:ascii="Times New Roman" w:hAnsi="Times New Roman" w:cs="Times New Roman"/>
          <w:sz w:val="24"/>
          <w:szCs w:val="24"/>
        </w:rPr>
        <w:t>(0.61)</w:t>
      </w:r>
      <w:r w:rsidR="000477FA" w:rsidRPr="00E90731">
        <w:rPr>
          <w:rFonts w:ascii="Times New Roman" w:hAnsi="Times New Roman" w:cs="Times New Roman"/>
          <w:sz w:val="24"/>
          <w:szCs w:val="24"/>
        </w:rPr>
        <w:t xml:space="preserve"> </w:t>
      </w:r>
      <w:r w:rsidR="00904D6F" w:rsidRPr="00E90731">
        <w:rPr>
          <w:rFonts w:ascii="Times New Roman" w:hAnsi="Times New Roman" w:cs="Times New Roman"/>
          <w:sz w:val="24"/>
          <w:szCs w:val="24"/>
        </w:rPr>
        <w:t>compared to</w:t>
      </w:r>
      <w:r w:rsidRPr="00E90731">
        <w:rPr>
          <w:rFonts w:ascii="Times New Roman" w:hAnsi="Times New Roman" w:cs="Times New Roman"/>
          <w:sz w:val="24"/>
          <w:szCs w:val="24"/>
        </w:rPr>
        <w:t xml:space="preserve"> the </w:t>
      </w:r>
      <w:r w:rsidR="000477FA" w:rsidRPr="00E90731">
        <w:rPr>
          <w:rFonts w:ascii="Times New Roman" w:hAnsi="Times New Roman" w:cs="Times New Roman"/>
          <w:sz w:val="24"/>
          <w:szCs w:val="24"/>
        </w:rPr>
        <w:t>USA</w:t>
      </w:r>
      <w:r w:rsidR="00904D6F" w:rsidRPr="00E90731">
        <w:rPr>
          <w:rFonts w:ascii="Times New Roman" w:hAnsi="Times New Roman" w:cs="Times New Roman"/>
          <w:sz w:val="24"/>
          <w:szCs w:val="24"/>
        </w:rPr>
        <w:t>’s</w:t>
      </w:r>
      <w:r w:rsidR="000477FA" w:rsidRPr="00E90731">
        <w:rPr>
          <w:rFonts w:ascii="Times New Roman" w:hAnsi="Times New Roman" w:cs="Times New Roman"/>
          <w:sz w:val="24"/>
          <w:szCs w:val="24"/>
        </w:rPr>
        <w:t xml:space="preserve"> (3.</w:t>
      </w:r>
      <w:r w:rsidRPr="00E90731">
        <w:rPr>
          <w:rFonts w:ascii="Times New Roman" w:hAnsi="Times New Roman" w:cs="Times New Roman"/>
          <w:sz w:val="24"/>
          <w:szCs w:val="24"/>
        </w:rPr>
        <w:t>30</w:t>
      </w:r>
      <w:r w:rsidR="000477FA" w:rsidRPr="00E90731">
        <w:rPr>
          <w:rFonts w:ascii="Times New Roman" w:hAnsi="Times New Roman" w:cs="Times New Roman"/>
          <w:sz w:val="24"/>
          <w:szCs w:val="24"/>
        </w:rPr>
        <w:t xml:space="preserve">). </w:t>
      </w:r>
      <w:r w:rsidRPr="00E90731">
        <w:rPr>
          <w:rFonts w:ascii="Times New Roman" w:hAnsi="Times New Roman" w:cs="Times New Roman"/>
          <w:sz w:val="24"/>
          <w:szCs w:val="24"/>
        </w:rPr>
        <w:t>Uganda</w:t>
      </w:r>
      <w:r w:rsidR="00A124AE" w:rsidRPr="00E90731">
        <w:rPr>
          <w:rFonts w:ascii="Times New Roman" w:hAnsi="Times New Roman" w:cs="Times New Roman"/>
          <w:sz w:val="24"/>
          <w:szCs w:val="24"/>
        </w:rPr>
        <w:t>, DRC, and Rwanda</w:t>
      </w:r>
      <w:r w:rsidRPr="00E90731">
        <w:rPr>
          <w:rFonts w:ascii="Times New Roman" w:hAnsi="Times New Roman" w:cs="Times New Roman"/>
          <w:sz w:val="24"/>
          <w:szCs w:val="24"/>
        </w:rPr>
        <w:t>’s</w:t>
      </w:r>
      <w:r w:rsidR="000477FA" w:rsidRPr="00E90731">
        <w:rPr>
          <w:rFonts w:ascii="Times New Roman" w:hAnsi="Times New Roman" w:cs="Times New Roman"/>
          <w:sz w:val="24"/>
          <w:szCs w:val="24"/>
        </w:rPr>
        <w:t xml:space="preserve"> low Com</w:t>
      </w:r>
      <w:r w:rsidRPr="00E90731">
        <w:rPr>
          <w:rFonts w:ascii="Times New Roman" w:hAnsi="Times New Roman" w:cs="Times New Roman"/>
          <w:sz w:val="24"/>
          <w:szCs w:val="24"/>
        </w:rPr>
        <w:t>prehensiveness index</w:t>
      </w:r>
      <w:r w:rsidR="005F4539">
        <w:rPr>
          <w:rFonts w:ascii="Times New Roman" w:hAnsi="Times New Roman" w:cs="Times New Roman"/>
          <w:sz w:val="24"/>
          <w:szCs w:val="24"/>
        </w:rPr>
        <w:t>es are</w:t>
      </w:r>
      <w:r w:rsidR="000477FA" w:rsidRPr="00E90731">
        <w:rPr>
          <w:rFonts w:ascii="Times New Roman" w:hAnsi="Times New Roman" w:cs="Times New Roman"/>
          <w:sz w:val="24"/>
          <w:szCs w:val="24"/>
        </w:rPr>
        <w:t xml:space="preserve"> mostly related to the lack or limited coverage of </w:t>
      </w:r>
      <w:r w:rsidR="00904D6F" w:rsidRPr="00E90731">
        <w:rPr>
          <w:rFonts w:ascii="Times New Roman" w:hAnsi="Times New Roman" w:cs="Times New Roman"/>
          <w:sz w:val="24"/>
          <w:szCs w:val="24"/>
        </w:rPr>
        <w:t xml:space="preserve">their </w:t>
      </w:r>
      <w:r w:rsidR="000477FA" w:rsidRPr="00E90731">
        <w:rPr>
          <w:rFonts w:ascii="Times New Roman" w:hAnsi="Times New Roman" w:cs="Times New Roman"/>
          <w:sz w:val="24"/>
          <w:szCs w:val="24"/>
        </w:rPr>
        <w:t xml:space="preserve">policy statements on the areas of Preservation of historical and cultural resources and </w:t>
      </w:r>
      <w:r w:rsidR="00A124AE" w:rsidRPr="00E90731">
        <w:rPr>
          <w:rFonts w:ascii="Times New Roman" w:hAnsi="Times New Roman" w:cs="Times New Roman"/>
          <w:sz w:val="24"/>
          <w:szCs w:val="24"/>
        </w:rPr>
        <w:t>Safe disposal of pollutants</w:t>
      </w:r>
      <w:r w:rsidR="000477FA" w:rsidRPr="00E90731">
        <w:rPr>
          <w:rFonts w:ascii="Times New Roman" w:hAnsi="Times New Roman" w:cs="Times New Roman"/>
          <w:sz w:val="24"/>
          <w:szCs w:val="24"/>
        </w:rPr>
        <w:t xml:space="preserve"> as highlighted by </w:t>
      </w:r>
      <w:r w:rsidR="00904D6F" w:rsidRPr="00E90731">
        <w:rPr>
          <w:rFonts w:ascii="Times New Roman" w:hAnsi="Times New Roman" w:cs="Times New Roman"/>
          <w:sz w:val="24"/>
          <w:szCs w:val="24"/>
        </w:rPr>
        <w:t>their</w:t>
      </w:r>
      <w:r w:rsidR="000477FA" w:rsidRPr="00E90731">
        <w:rPr>
          <w:rFonts w:ascii="Times New Roman" w:hAnsi="Times New Roman" w:cs="Times New Roman"/>
          <w:sz w:val="24"/>
          <w:szCs w:val="24"/>
        </w:rPr>
        <w:t xml:space="preserve"> low Cultural &amp; historical resources (0.00)</w:t>
      </w:r>
      <w:r w:rsidR="00E90731">
        <w:rPr>
          <w:rFonts w:ascii="Times New Roman" w:hAnsi="Times New Roman" w:cs="Times New Roman"/>
          <w:sz w:val="24"/>
          <w:szCs w:val="24"/>
        </w:rPr>
        <w:t xml:space="preserve">, </w:t>
      </w:r>
      <w:r w:rsidR="00E90731" w:rsidRPr="00E90731">
        <w:rPr>
          <w:rFonts w:ascii="Times New Roman" w:hAnsi="Times New Roman" w:cs="Times New Roman"/>
          <w:sz w:val="24"/>
          <w:szCs w:val="24"/>
        </w:rPr>
        <w:t>(0.00)</w:t>
      </w:r>
      <w:r w:rsidR="00E90731">
        <w:rPr>
          <w:rFonts w:ascii="Times New Roman" w:hAnsi="Times New Roman" w:cs="Times New Roman"/>
          <w:sz w:val="24"/>
          <w:szCs w:val="24"/>
        </w:rPr>
        <w:t xml:space="preserve">, </w:t>
      </w:r>
      <w:r w:rsidR="00E90731" w:rsidRPr="00E90731">
        <w:rPr>
          <w:rFonts w:ascii="Times New Roman" w:hAnsi="Times New Roman" w:cs="Times New Roman"/>
          <w:sz w:val="24"/>
          <w:szCs w:val="24"/>
        </w:rPr>
        <w:t>(0.00)</w:t>
      </w:r>
      <w:r w:rsidR="000477FA" w:rsidRPr="00E90731">
        <w:rPr>
          <w:rFonts w:ascii="Times New Roman" w:hAnsi="Times New Roman" w:cs="Times New Roman"/>
          <w:sz w:val="24"/>
          <w:szCs w:val="24"/>
        </w:rPr>
        <w:t xml:space="preserve"> and </w:t>
      </w:r>
      <w:r w:rsidR="00E90731" w:rsidRPr="00E90731">
        <w:rPr>
          <w:rFonts w:ascii="Times New Roman" w:hAnsi="Times New Roman" w:cs="Times New Roman"/>
          <w:sz w:val="24"/>
          <w:szCs w:val="24"/>
        </w:rPr>
        <w:t>Safe disposal of pollutants</w:t>
      </w:r>
      <w:r w:rsidR="000477FA" w:rsidRPr="00E90731">
        <w:rPr>
          <w:rFonts w:ascii="Times New Roman" w:hAnsi="Times New Roman" w:cs="Times New Roman"/>
          <w:sz w:val="24"/>
          <w:szCs w:val="24"/>
        </w:rPr>
        <w:t xml:space="preserve"> indexes (0.</w:t>
      </w:r>
      <w:r w:rsidR="00E90731">
        <w:rPr>
          <w:rFonts w:ascii="Times New Roman" w:hAnsi="Times New Roman" w:cs="Times New Roman"/>
          <w:sz w:val="24"/>
          <w:szCs w:val="24"/>
        </w:rPr>
        <w:t>00</w:t>
      </w:r>
      <w:r w:rsidR="000477FA" w:rsidRPr="00E90731">
        <w:rPr>
          <w:rFonts w:ascii="Times New Roman" w:hAnsi="Times New Roman" w:cs="Times New Roman"/>
          <w:sz w:val="24"/>
          <w:szCs w:val="24"/>
        </w:rPr>
        <w:t>)</w:t>
      </w:r>
      <w:r w:rsidR="00E90731">
        <w:rPr>
          <w:rFonts w:ascii="Times New Roman" w:hAnsi="Times New Roman" w:cs="Times New Roman"/>
          <w:sz w:val="24"/>
          <w:szCs w:val="24"/>
        </w:rPr>
        <w:t xml:space="preserve">, </w:t>
      </w:r>
      <w:r w:rsidR="00C552AD" w:rsidRPr="00C552AD">
        <w:rPr>
          <w:rFonts w:ascii="Times New Roman" w:hAnsi="Times New Roman" w:cs="Times New Roman"/>
          <w:sz w:val="24"/>
          <w:szCs w:val="24"/>
        </w:rPr>
        <w:t>(0.00)</w:t>
      </w:r>
      <w:r w:rsidR="00C552AD">
        <w:rPr>
          <w:rFonts w:ascii="Times New Roman" w:hAnsi="Times New Roman" w:cs="Times New Roman"/>
          <w:sz w:val="24"/>
          <w:szCs w:val="24"/>
        </w:rPr>
        <w:t xml:space="preserve">, </w:t>
      </w:r>
      <w:r w:rsidR="00C552AD" w:rsidRPr="00E90731">
        <w:rPr>
          <w:rFonts w:ascii="Times New Roman" w:hAnsi="Times New Roman" w:cs="Times New Roman"/>
          <w:sz w:val="24"/>
          <w:szCs w:val="24"/>
        </w:rPr>
        <w:t>(0.0</w:t>
      </w:r>
      <w:r w:rsidR="00C552AD">
        <w:rPr>
          <w:rFonts w:ascii="Times New Roman" w:hAnsi="Times New Roman" w:cs="Times New Roman"/>
          <w:sz w:val="24"/>
          <w:szCs w:val="24"/>
        </w:rPr>
        <w:t>9</w:t>
      </w:r>
      <w:r w:rsidR="00C552AD" w:rsidRPr="00E90731">
        <w:rPr>
          <w:rFonts w:ascii="Times New Roman" w:hAnsi="Times New Roman" w:cs="Times New Roman"/>
          <w:sz w:val="24"/>
          <w:szCs w:val="24"/>
        </w:rPr>
        <w:t>)</w:t>
      </w:r>
      <w:r w:rsidR="000477FA" w:rsidRPr="00E90731">
        <w:rPr>
          <w:rFonts w:ascii="Times New Roman" w:hAnsi="Times New Roman" w:cs="Times New Roman"/>
          <w:sz w:val="24"/>
          <w:szCs w:val="24"/>
        </w:rPr>
        <w:t>.</w:t>
      </w:r>
    </w:p>
    <w:p w:rsidR="00F17E02" w:rsidRPr="003E499A" w:rsidRDefault="00727ACA" w:rsidP="00F17E02">
      <w:pPr>
        <w:keepNext/>
        <w:spacing w:line="240" w:lineRule="auto"/>
      </w:pPr>
      <w:r>
        <w:rPr>
          <w:noProof/>
        </w:rPr>
        <w:lastRenderedPageBreak/>
        <w:drawing>
          <wp:inline distT="0" distB="0" distL="0" distR="0">
            <wp:extent cx="5731510" cy="6288405"/>
            <wp:effectExtent l="0" t="0" r="2540" b="0"/>
            <wp:docPr id="1187286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86412" name="Picture 1187286412"/>
                    <pic:cNvPicPr/>
                  </pic:nvPicPr>
                  <pic:blipFill>
                    <a:blip r:embed="rId9"/>
                    <a:stretch>
                      <a:fillRect/>
                    </a:stretch>
                  </pic:blipFill>
                  <pic:spPr>
                    <a:xfrm>
                      <a:off x="0" y="0"/>
                      <a:ext cx="5731510" cy="6288405"/>
                    </a:xfrm>
                    <a:prstGeom prst="rect">
                      <a:avLst/>
                    </a:prstGeom>
                  </pic:spPr>
                </pic:pic>
              </a:graphicData>
            </a:graphic>
          </wp:inline>
        </w:drawing>
      </w:r>
    </w:p>
    <w:p w:rsidR="00F17E02" w:rsidRPr="003E499A" w:rsidRDefault="00F17E02" w:rsidP="00F17E02">
      <w:pPr>
        <w:pStyle w:val="Caption"/>
        <w:jc w:val="left"/>
      </w:pPr>
      <w:r w:rsidRPr="003E499A">
        <w:t xml:space="preserve">Figure </w:t>
      </w:r>
      <w:fldSimple w:instr=" STYLEREF 1 \s ">
        <w:r w:rsidR="008F575F">
          <w:rPr>
            <w:noProof/>
          </w:rPr>
          <w:t>3</w:t>
        </w:r>
      </w:fldSimple>
      <w:r w:rsidR="008F575F">
        <w:t>.</w:t>
      </w:r>
      <w:fldSimple w:instr=" SEQ Figure \* ARABIC \s 1 ">
        <w:r w:rsidR="008F575F">
          <w:rPr>
            <w:noProof/>
          </w:rPr>
          <w:t>1</w:t>
        </w:r>
      </w:fldSimple>
      <w:r w:rsidRPr="003E499A">
        <w:t>: Timeline for the establishment of major conservation policy and legal instruments in DRC, Rwanda, Uganda, and the USA.</w:t>
      </w:r>
    </w:p>
    <w:p w:rsidR="00EC31B9" w:rsidRDefault="00B2382A" w:rsidP="00EC31B9">
      <w:pPr>
        <w:keepNext/>
        <w:spacing w:line="240" w:lineRule="auto"/>
        <w:jc w:val="center"/>
      </w:pPr>
      <w:r>
        <w:rPr>
          <w:noProof/>
        </w:rPr>
        <w:lastRenderedPageBreak/>
        <w:drawing>
          <wp:inline distT="0" distB="0" distL="0" distR="0" wp14:anchorId="689E0489" wp14:editId="2A42FEC4">
            <wp:extent cx="5731510" cy="4317558"/>
            <wp:effectExtent l="0" t="0" r="2540" b="6985"/>
            <wp:docPr id="1383146352" name="Chart 1">
              <a:extLst xmlns:a="http://schemas.openxmlformats.org/drawingml/2006/main">
                <a:ext uri="{FF2B5EF4-FFF2-40B4-BE49-F238E27FC236}">
                  <a16:creationId xmlns:a16="http://schemas.microsoft.com/office/drawing/2014/main" id="{549499EE-953A-F03E-53F4-D2BD8DD683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9952CE" w:rsidRDefault="00EC31B9" w:rsidP="00EC31B9">
      <w:pPr>
        <w:pStyle w:val="Caption"/>
        <w:rPr>
          <w:color w:val="0D0D0D" w:themeColor="text1" w:themeTint="F2"/>
        </w:rPr>
      </w:pPr>
      <w:r>
        <w:t xml:space="preserve">Figure </w:t>
      </w:r>
      <w:fldSimple w:instr=" STYLEREF 1 \s ">
        <w:r w:rsidR="008F575F">
          <w:rPr>
            <w:noProof/>
          </w:rPr>
          <w:t>3</w:t>
        </w:r>
      </w:fldSimple>
      <w:r w:rsidR="008F575F">
        <w:t>.</w:t>
      </w:r>
      <w:fldSimple w:instr=" SEQ Figure \* ARABIC \s 1 ">
        <w:r w:rsidR="008F575F">
          <w:rPr>
            <w:noProof/>
          </w:rPr>
          <w:t>2</w:t>
        </w:r>
      </w:fldSimple>
      <w:r>
        <w:t xml:space="preserve">: </w:t>
      </w:r>
      <w:r w:rsidR="00B2382A">
        <w:t>Comprehensiveness</w:t>
      </w:r>
      <w:r w:rsidRPr="00507D6D">
        <w:t xml:space="preserve"> index, Repeal</w:t>
      </w:r>
      <w:r>
        <w:t xml:space="preserve"> index</w:t>
      </w:r>
      <w:r w:rsidRPr="00507D6D">
        <w:t>, Duplication</w:t>
      </w:r>
      <w:r>
        <w:t xml:space="preserve"> index</w:t>
      </w:r>
      <w:r w:rsidRPr="00507D6D">
        <w:t>, and Contradiction index</w:t>
      </w:r>
      <w:r>
        <w:t xml:space="preserve"> for the DRC, Rwanda, Uganda and the USA.</w:t>
      </w:r>
    </w:p>
    <w:p w:rsidR="00953215" w:rsidRPr="003E499A" w:rsidRDefault="00953215" w:rsidP="009952CE">
      <w:pPr>
        <w:spacing w:line="240" w:lineRule="auto"/>
        <w:jc w:val="center"/>
        <w:rPr>
          <w:rFonts w:ascii="Times New Roman" w:hAnsi="Times New Roman" w:cs="Times New Roman"/>
          <w:color w:val="0D0D0D" w:themeColor="text1" w:themeTint="F2"/>
          <w:sz w:val="24"/>
          <w:szCs w:val="24"/>
        </w:rPr>
      </w:pPr>
    </w:p>
    <w:p w:rsidR="00F17E02" w:rsidRPr="003E499A" w:rsidRDefault="00F17E02" w:rsidP="00D0319C">
      <w:pPr>
        <w:pStyle w:val="Heading2"/>
      </w:pPr>
      <w:bookmarkStart w:id="42" w:name="_Hlk133970620"/>
      <w:r w:rsidRPr="003E499A">
        <w:t>Institutional framework</w:t>
      </w:r>
    </w:p>
    <w:bookmarkEnd w:id="42"/>
    <w:p w:rsidR="00F17E02" w:rsidRPr="003E499A" w:rsidRDefault="00F17E02" w:rsidP="00D0319C">
      <w:pPr>
        <w:pStyle w:val="Heading3"/>
      </w:pPr>
      <w:r w:rsidRPr="003E499A">
        <w:t>USA, DRC, Rwanda, and Uganda Institutional framework</w:t>
      </w:r>
    </w:p>
    <w:p w:rsidR="00F17E02" w:rsidRPr="003E499A" w:rsidRDefault="00F17E02" w:rsidP="00F37338">
      <w:pPr>
        <w:pStyle w:val="Heading4"/>
      </w:pPr>
      <w:r w:rsidRPr="003E499A">
        <w:t>DRC Institutional framework</w:t>
      </w:r>
    </w:p>
    <w:p w:rsidR="00F17E02" w:rsidRPr="003E499A" w:rsidRDefault="00F17E02" w:rsidP="00D0319C">
      <w:pPr>
        <w:spacing w:line="240" w:lineRule="auto"/>
        <w:rPr>
          <w:rFonts w:ascii="Times New Roman" w:hAnsi="Times New Roman" w:cs="Times New Roman"/>
          <w:sz w:val="24"/>
          <w:szCs w:val="24"/>
        </w:rPr>
      </w:pPr>
      <w:bookmarkStart w:id="43" w:name="_Hlk115577018"/>
      <w:r w:rsidRPr="003E499A">
        <w:rPr>
          <w:rFonts w:ascii="Times New Roman" w:hAnsi="Times New Roman" w:cs="Times New Roman"/>
          <w:sz w:val="24"/>
          <w:szCs w:val="24"/>
        </w:rPr>
        <w:t>Congolese Institute for Nature Conservation/</w:t>
      </w:r>
      <w:proofErr w:type="spellStart"/>
      <w:r w:rsidRPr="003E499A">
        <w:rPr>
          <w:rFonts w:ascii="Times New Roman" w:hAnsi="Times New Roman" w:cs="Times New Roman"/>
          <w:sz w:val="24"/>
          <w:szCs w:val="24"/>
        </w:rPr>
        <w:t>Institut</w:t>
      </w:r>
      <w:proofErr w:type="spellEnd"/>
      <w:r w:rsidRPr="003E499A">
        <w:rPr>
          <w:rFonts w:ascii="Times New Roman" w:hAnsi="Times New Roman" w:cs="Times New Roman"/>
          <w:sz w:val="24"/>
          <w:szCs w:val="24"/>
        </w:rPr>
        <w:t xml:space="preserve"> </w:t>
      </w:r>
      <w:proofErr w:type="spellStart"/>
      <w:r w:rsidRPr="003E499A">
        <w:rPr>
          <w:rFonts w:ascii="Times New Roman" w:hAnsi="Times New Roman" w:cs="Times New Roman"/>
          <w:sz w:val="24"/>
          <w:szCs w:val="24"/>
        </w:rPr>
        <w:t>Congolais</w:t>
      </w:r>
      <w:proofErr w:type="spellEnd"/>
      <w:r w:rsidRPr="003E499A">
        <w:rPr>
          <w:rFonts w:ascii="Times New Roman" w:hAnsi="Times New Roman" w:cs="Times New Roman"/>
          <w:sz w:val="24"/>
          <w:szCs w:val="24"/>
        </w:rPr>
        <w:t xml:space="preserve"> pour la Conservation de la Nature (ICCN), is a public institution under the Ministry of Environment and Sustainable Development (MECNDD) charged with the management of DRC’s PAs. The history of ICCN dates back to colonial times, it was established in 1934 under the name “</w:t>
      </w:r>
      <w:bookmarkStart w:id="44" w:name="_Hlk116179661"/>
      <w:proofErr w:type="spellStart"/>
      <w:r w:rsidRPr="003E499A">
        <w:rPr>
          <w:rFonts w:ascii="Times New Roman" w:hAnsi="Times New Roman" w:cs="Times New Roman"/>
          <w:sz w:val="24"/>
          <w:szCs w:val="24"/>
        </w:rPr>
        <w:t>Institut</w:t>
      </w:r>
      <w:proofErr w:type="spellEnd"/>
      <w:r w:rsidRPr="003E499A">
        <w:rPr>
          <w:rFonts w:ascii="Times New Roman" w:hAnsi="Times New Roman" w:cs="Times New Roman"/>
          <w:sz w:val="24"/>
          <w:szCs w:val="24"/>
        </w:rPr>
        <w:t xml:space="preserve"> des Parcs </w:t>
      </w:r>
      <w:proofErr w:type="spellStart"/>
      <w:r w:rsidRPr="003E499A">
        <w:rPr>
          <w:rFonts w:ascii="Times New Roman" w:hAnsi="Times New Roman" w:cs="Times New Roman"/>
          <w:sz w:val="24"/>
          <w:szCs w:val="24"/>
        </w:rPr>
        <w:t>Nationaux</w:t>
      </w:r>
      <w:proofErr w:type="spellEnd"/>
      <w:r w:rsidRPr="003E499A">
        <w:rPr>
          <w:rFonts w:ascii="Times New Roman" w:hAnsi="Times New Roman" w:cs="Times New Roman"/>
          <w:sz w:val="24"/>
          <w:szCs w:val="24"/>
        </w:rPr>
        <w:t xml:space="preserve"> du Congo </w:t>
      </w:r>
      <w:proofErr w:type="spellStart"/>
      <w:r w:rsidRPr="003E499A">
        <w:rPr>
          <w:rFonts w:ascii="Times New Roman" w:hAnsi="Times New Roman" w:cs="Times New Roman"/>
          <w:sz w:val="24"/>
          <w:szCs w:val="24"/>
        </w:rPr>
        <w:t>Belge</w:t>
      </w:r>
      <w:bookmarkEnd w:id="44"/>
      <w:proofErr w:type="spellEnd"/>
      <w:r w:rsidRPr="003E499A">
        <w:rPr>
          <w:rFonts w:ascii="Times New Roman" w:hAnsi="Times New Roman" w:cs="Times New Roman"/>
          <w:sz w:val="24"/>
          <w:szCs w:val="24"/>
        </w:rPr>
        <w:t>” by the Decree of November 26, 1934 which creates the Institute of National Parks of the Belgian Congo, then changed the name in 1967 to become the “</w:t>
      </w:r>
      <w:proofErr w:type="spellStart"/>
      <w:r w:rsidRPr="003E499A">
        <w:rPr>
          <w:rFonts w:ascii="Times New Roman" w:hAnsi="Times New Roman" w:cs="Times New Roman"/>
          <w:sz w:val="24"/>
          <w:szCs w:val="24"/>
        </w:rPr>
        <w:t>Institut</w:t>
      </w:r>
      <w:proofErr w:type="spellEnd"/>
      <w:r w:rsidRPr="003E499A">
        <w:rPr>
          <w:rFonts w:ascii="Times New Roman" w:hAnsi="Times New Roman" w:cs="Times New Roman"/>
          <w:sz w:val="24"/>
          <w:szCs w:val="24"/>
        </w:rPr>
        <w:t xml:space="preserve"> des Parcs </w:t>
      </w:r>
      <w:proofErr w:type="spellStart"/>
      <w:r w:rsidRPr="003E499A">
        <w:rPr>
          <w:rFonts w:ascii="Times New Roman" w:hAnsi="Times New Roman" w:cs="Times New Roman"/>
          <w:sz w:val="24"/>
          <w:szCs w:val="24"/>
        </w:rPr>
        <w:t>nationaux</w:t>
      </w:r>
      <w:proofErr w:type="spellEnd"/>
      <w:r w:rsidRPr="003E499A">
        <w:rPr>
          <w:rFonts w:ascii="Times New Roman" w:hAnsi="Times New Roman" w:cs="Times New Roman"/>
          <w:sz w:val="24"/>
          <w:szCs w:val="24"/>
        </w:rPr>
        <w:t xml:space="preserve"> du Congo” (IPNC) by the Ordinance-Law No. 514 of December 1, 1967, which was in turn substituted to the “</w:t>
      </w:r>
      <w:proofErr w:type="spellStart"/>
      <w:r w:rsidRPr="003E499A">
        <w:rPr>
          <w:rFonts w:ascii="Times New Roman" w:hAnsi="Times New Roman" w:cs="Times New Roman"/>
          <w:color w:val="000000" w:themeColor="text1"/>
          <w:sz w:val="24"/>
          <w:szCs w:val="24"/>
        </w:rPr>
        <w:t>Institut</w:t>
      </w:r>
      <w:proofErr w:type="spellEnd"/>
      <w:r w:rsidRPr="003E499A">
        <w:rPr>
          <w:rFonts w:ascii="Times New Roman" w:hAnsi="Times New Roman" w:cs="Times New Roman"/>
          <w:color w:val="000000" w:themeColor="text1"/>
          <w:sz w:val="24"/>
          <w:szCs w:val="24"/>
        </w:rPr>
        <w:t xml:space="preserve"> National de Conservation de la Nature” (INCN) </w:t>
      </w:r>
      <w:r w:rsidRPr="003E499A">
        <w:rPr>
          <w:rFonts w:ascii="Times New Roman" w:hAnsi="Times New Roman" w:cs="Times New Roman"/>
          <w:sz w:val="24"/>
          <w:szCs w:val="24"/>
        </w:rPr>
        <w:t>in 1972 by the Ordinance-Law No. 72-012 of February 21, 1972, and again to the “</w:t>
      </w:r>
      <w:proofErr w:type="spellStart"/>
      <w:r w:rsidRPr="003E499A">
        <w:rPr>
          <w:rFonts w:ascii="Times New Roman" w:hAnsi="Times New Roman" w:cs="Times New Roman"/>
          <w:sz w:val="24"/>
          <w:szCs w:val="24"/>
        </w:rPr>
        <w:t>Institut</w:t>
      </w:r>
      <w:proofErr w:type="spellEnd"/>
      <w:r w:rsidRPr="003E499A">
        <w:rPr>
          <w:rFonts w:ascii="Times New Roman" w:hAnsi="Times New Roman" w:cs="Times New Roman"/>
          <w:sz w:val="24"/>
          <w:szCs w:val="24"/>
        </w:rPr>
        <w:t xml:space="preserve"> </w:t>
      </w:r>
      <w:proofErr w:type="spellStart"/>
      <w:r w:rsidRPr="003E499A">
        <w:rPr>
          <w:rFonts w:ascii="Times New Roman" w:hAnsi="Times New Roman" w:cs="Times New Roman"/>
          <w:sz w:val="24"/>
          <w:szCs w:val="24"/>
        </w:rPr>
        <w:t>Zaïrois</w:t>
      </w:r>
      <w:proofErr w:type="spellEnd"/>
      <w:r w:rsidRPr="003E499A">
        <w:rPr>
          <w:rFonts w:ascii="Times New Roman" w:hAnsi="Times New Roman" w:cs="Times New Roman"/>
          <w:sz w:val="24"/>
          <w:szCs w:val="24"/>
        </w:rPr>
        <w:t xml:space="preserve"> de Conservation de la Nature” (IZCN) in 1975 by the Law No. 75-023 of July 22, 1975, and lastly became “</w:t>
      </w:r>
      <w:proofErr w:type="spellStart"/>
      <w:r w:rsidRPr="003E499A">
        <w:rPr>
          <w:rFonts w:ascii="Times New Roman" w:hAnsi="Times New Roman" w:cs="Times New Roman"/>
          <w:sz w:val="24"/>
          <w:szCs w:val="24"/>
        </w:rPr>
        <w:t>Institut</w:t>
      </w:r>
      <w:proofErr w:type="spellEnd"/>
      <w:r w:rsidRPr="003E499A">
        <w:rPr>
          <w:rFonts w:ascii="Times New Roman" w:hAnsi="Times New Roman" w:cs="Times New Roman"/>
          <w:sz w:val="24"/>
          <w:szCs w:val="24"/>
        </w:rPr>
        <w:t xml:space="preserve"> </w:t>
      </w:r>
      <w:proofErr w:type="spellStart"/>
      <w:r w:rsidRPr="003E499A">
        <w:rPr>
          <w:rFonts w:ascii="Times New Roman" w:hAnsi="Times New Roman" w:cs="Times New Roman"/>
          <w:sz w:val="24"/>
          <w:szCs w:val="24"/>
        </w:rPr>
        <w:t>Congolais</w:t>
      </w:r>
      <w:proofErr w:type="spellEnd"/>
      <w:r w:rsidRPr="003E499A">
        <w:rPr>
          <w:rFonts w:ascii="Times New Roman" w:hAnsi="Times New Roman" w:cs="Times New Roman"/>
          <w:sz w:val="24"/>
          <w:szCs w:val="24"/>
        </w:rPr>
        <w:t xml:space="preserve"> pour la Conservation de la Nature” (ICCN) by the Ordinance 78-190 of May 5, 1978 </w:t>
      </w:r>
      <w:r w:rsidRPr="003E499A">
        <w:rPr>
          <w:rFonts w:ascii="Times New Roman" w:hAnsi="Times New Roman" w:cs="Times New Roman"/>
          <w:sz w:val="24"/>
          <w:szCs w:val="24"/>
        </w:rPr>
        <w:fldChar w:fldCharType="begin" w:fldLock="1"/>
      </w:r>
      <w:r w:rsidRPr="003E499A">
        <w:rPr>
          <w:rFonts w:ascii="Times New Roman" w:hAnsi="Times New Roman" w:cs="Times New Roman"/>
          <w:sz w:val="24"/>
          <w:szCs w:val="24"/>
        </w:rPr>
        <w:instrText>ADDIN CSL_CITATION {"citationItems":[{"id":"ITEM-1","itemData":{"author":[{"dropping-particle":"","family":"Présidence de la République","given":"","non-dropping-particle":"","parse-names":false,"suffix":""}],"id":"ITEM-1","issued":{"date-parts":[["1969"]]},"title":"Ordonnance-loi no 69-041 du 22 aout 1969 relative a la conservation de la nature","type":"article"},"uris":["http://www.mendeley.com/documents/?uuid=a4bdd22a-ab63-46d6-8944-c29280a27320"]},{"id":"ITEM-2","itemData":{"ISBN":"0306000210","abstract":"This Biodiversity and Tropical Forest Assessment report has been prepared to provide information and analysis as requested by USAID/DRC, required by the U.S. Congress, and stipulated in the U.S. Foreign Assistance Act (FAA) of 1961. This report updates the 2003 countrywide Environmental Threats and Opportunities Analysis (ETOA) and seeks to provide a concise and targeted assessment to inform the USAID/DRC Mission’s strategic planning, program development, and implementation. This assessment includes: • An overview of the status of biodiversity and tropical forest conservation; • An analysis of threats to biodiversity and tropical forests and underlying causes; • The institutional, policy and legislative framework for environmental management in the DRC; and • Current interventions in the environmental sector, bi- and multilateral donors, non -governmental organizations (NGOs), the private sector and other institutions; and • An examination of how the proposed activities in USAID/DRC’s Country Assistance Strategy (CAS) could contribute to conservation needs and includes recommendations for actions related to the CAS’s goals.","author":[{"dropping-particle":"","family":"Seyler","given":"J R","non-dropping-particle":"","parse-names":false,"suffix":""},{"dropping-particle":"","family":"Thomas","given":"D","non-dropping-particle":"","parse-names":false,"suffix":""},{"dropping-particle":"","family":"Mwanza","given":"N","non-dropping-particle":"","parse-names":false,"suffix":""},{"dropping-particle":"","family":"Mpoyi","given":"A","non-dropping-particle":"","parse-names":false,"suffix":""}],"id":"ITEM-2","issue":"January","issued":{"date-parts":[["2010"]]},"number-of-pages":"-","title":"Democratic Republic of Congo: Biodiversity and tropical forestry assessment (118/119). Final report","type":"book"},"uris":["http://www.mendeley.com/documents/?uuid=8ec076de-7267-42e0-8614-f986b8d66aac"]},{"id":"ITEM-3","itemData":{"author":[{"dropping-particle":"","family":"ICCN","given":"","non-dropping-particle":"","parse-names":false,"suffix":""}],"id":"ITEM-3","issued":{"date-parts":[["2011"]]},"number-of-pages":"1-44","title":"Manuel des droits et obligations des parties prenantes dans les aires protégées","type":"book"},"uris":["http://www.mendeley.com/documents/?uuid=472ea57f-8d18-433f-ac47-ec821ec588d9"]},{"id":"ITEM-4","itemData":{"author":[{"dropping-particle":"","family":"MECNDD","given":"","non-dropping-particle":"","parse-names":false,"suffix":""}],"id":"ITEM-4","issued":{"date-parts":[["2016"]]},"title":"Strategie et plan d'action nationaux de la biodiversite (2016-2020)","type":"book"},"uris":["http://www.mendeley.com/documents/?uuid=b2194c17-cb9b-44ea-833e-2474c8ec717c"]},{"id":"ITEM-5","itemData":{"author":[{"dropping-particle":"","family":"Présidence de la République","given":"","non-dropping-particle":"","parse-names":false,"suffix":""}],"id":"ITEM-5","issued":{"date-parts":[["1975"]]},"title":"Loi No 75-023 du 22 Juillet 1975 portant le statut de l'Institut Zairois pour la conservation de la nature","type":"legislation"},"uris":["http://www.mendeley.com/documents/?uuid=ef2a2d42-87f3-4346-a026-d92b4ccdf570"]}],"mendeley":{"formattedCitation":"(Présidence de la République, 1969, 1975; Seyler &lt;i&gt;et al.&lt;/i&gt;, 2010; ICCN, 2011; MECNDD, 2016)","plainTextFormattedCitation":"(Présidence de la République, 1969, 1975; Seyler et al., 2010; ICCN, 2011; MECNDD, 2016)","previouslyFormattedCitation":"(Présidence de la République, 1969, 1975; Seyler &lt;i&gt;et al.&lt;/i&gt;, 2010; ICCN, 2011; MECNDD, 2016)"},"properties":{"noteIndex":0},"schema":"https://github.com/citation-style-language/schema/raw/master/csl-citation.json"}</w:instrText>
      </w:r>
      <w:r w:rsidRPr="003E499A">
        <w:rPr>
          <w:rFonts w:ascii="Times New Roman" w:hAnsi="Times New Roman" w:cs="Times New Roman"/>
          <w:sz w:val="24"/>
          <w:szCs w:val="24"/>
        </w:rPr>
        <w:fldChar w:fldCharType="separate"/>
      </w:r>
      <w:r w:rsidRPr="003E499A">
        <w:rPr>
          <w:rFonts w:ascii="Times New Roman" w:hAnsi="Times New Roman" w:cs="Times New Roman"/>
          <w:noProof/>
          <w:sz w:val="24"/>
          <w:szCs w:val="24"/>
        </w:rPr>
        <w:t xml:space="preserve">(Présidence de la République, 1969, 1975; Seyler </w:t>
      </w:r>
      <w:r w:rsidRPr="003E499A">
        <w:rPr>
          <w:rFonts w:ascii="Times New Roman" w:hAnsi="Times New Roman" w:cs="Times New Roman"/>
          <w:i/>
          <w:noProof/>
          <w:sz w:val="24"/>
          <w:szCs w:val="24"/>
        </w:rPr>
        <w:t>et al.</w:t>
      </w:r>
      <w:r w:rsidRPr="003E499A">
        <w:rPr>
          <w:rFonts w:ascii="Times New Roman" w:hAnsi="Times New Roman" w:cs="Times New Roman"/>
          <w:noProof/>
          <w:sz w:val="24"/>
          <w:szCs w:val="24"/>
        </w:rPr>
        <w:t>, 2010; ICCN, 2011; MECNDD, 2016)</w:t>
      </w:r>
      <w:r w:rsidRPr="003E499A">
        <w:rPr>
          <w:rFonts w:ascii="Times New Roman" w:hAnsi="Times New Roman" w:cs="Times New Roman"/>
          <w:sz w:val="24"/>
          <w:szCs w:val="24"/>
        </w:rPr>
        <w:fldChar w:fldCharType="end"/>
      </w:r>
      <w:r w:rsidRPr="003E499A">
        <w:rPr>
          <w:rFonts w:ascii="Times New Roman" w:hAnsi="Times New Roman" w:cs="Times New Roman"/>
          <w:sz w:val="24"/>
          <w:szCs w:val="24"/>
        </w:rPr>
        <w:t xml:space="preserve">. The 1978 law and its 2010 amendment (Decree n°10-15 of April 10, 2010) states the purpose of the Institute: (1). Ensure the protection of the fauna and flora in the natural reserves; (2). Promote scientific research and </w:t>
      </w:r>
      <w:r w:rsidRPr="003E499A">
        <w:rPr>
          <w:rFonts w:ascii="Times New Roman" w:hAnsi="Times New Roman" w:cs="Times New Roman"/>
          <w:sz w:val="24"/>
          <w:szCs w:val="24"/>
        </w:rPr>
        <w:lastRenderedPageBreak/>
        <w:t xml:space="preserve">tourism in respect for the fundamental principles of nature conservation; (3). Carry out studies and to ensure their popularization for scientific and educational purposes in the field of conversation </w:t>
      </w:r>
      <w:r w:rsidRPr="003E499A">
        <w:rPr>
          <w:rFonts w:ascii="Times New Roman" w:hAnsi="Times New Roman" w:cs="Times New Roman"/>
          <w:sz w:val="24"/>
          <w:szCs w:val="24"/>
        </w:rPr>
        <w:fldChar w:fldCharType="begin" w:fldLock="1"/>
      </w:r>
      <w:r w:rsidRPr="003E499A">
        <w:rPr>
          <w:rFonts w:ascii="Times New Roman" w:hAnsi="Times New Roman" w:cs="Times New Roman"/>
          <w:sz w:val="24"/>
          <w:szCs w:val="24"/>
        </w:rPr>
        <w:instrText>ADDIN CSL_CITATION {"citationItems":[{"id":"ITEM-1","itemData":{"DOI":"10.29053/2413-7138/2019/v7a10","ISSN":"2311-8970","abstract":"According to the World Bank (WB), the Congolese population is 5.2 million. No recent census has been conducted on people with disabilities. According to the United Nations Development Programme (UNDP), the most prevalent forms of disabilities include visual, motor disabilities (lower and upper limbs), visual and auditory disabilities. The Republic of Congo signed and ratified the United Nations Convention on the Rights of Persons with Disabilities (CRPD), as well as its Optional protocol on 30 March 2007. The CRDP and the Optional Protocol have been ratified on 14 February 2014. The Republic of Congo did not submit its country report which was supposed to be submitted on 2 October 2016. Through Art 31 the elders and persons with disabilities are entitled to protective measures in relation to their physical, moral or other needs, with a view to their full development under conditions laid down by law. The State has a duty to promote the presence of people with disabilities in national and local institutions and administrations. The Republic of Congo has an important piece of legislation that directly addresses disability, Law 009/92, of 22 April 1992 on the rights of people with disabilities. The policies that directly address persons with disabilities are: The National Social Action Policy Programme (2018-2022). Congo has the following programmes: The National Action Plan for Persons with Disabilities which aims to promote the socio-economic development of persons with disabilities, their education, a better detection of the causes of disabilities, social protection, professional training for people with disabilities. Other than ordinary courts or tribunals, the Republic of Congo does not have an official body which specifically addresses the violation of the rights of people with disabilities. They have had a National Human Rights Commission, since 2015. There are numerous organisations that represent and advocate for the rights and welfare of persons with disabilities in Congo, represented by the National Union of Disabled People of Congo which is an umbrella body of 10 important organisations. In Congo, the Ministry of Social Affairs and Humanitarian Action are in favour of persons with disabilities, with the Advisory Council for Persons with Disabilities. Disabled people still encounter multiple levels of exclusion and discrimination. Most are yet to acquire their identity cards, and cannot access education. The Republic of Congo should equip itself…","author":[{"dropping-particle":"","family":"Cabinet du Président de la République","given":"","non-dropping-particle":"","parse-names":false,"suffix":""}],"container-title":"Journal Officiel","id":"ITEM-1","issued":{"date-parts":[["2010"]]},"title":"Décret n° 10/15 du 10 avril 2010 fixant les statuts d'un établissement public dénommé Institut Congolais pour la Conservation de la Nature en sigle « I.C.C.N. »","type":"legislation","volume":"7"},"uris":["http://www.mendeley.com/documents/?uuid=bc8de945-604d-43e9-adce-cf539a1e51bb"]}],"mendeley":{"formattedCitation":"(Cabinet du Président de la République, 2010)","plainTextFormattedCitation":"(Cabinet du Président de la République, 2010)","previouslyFormattedCitation":"(Cabinet du Président de la République, 2010)"},"properties":{"noteIndex":0},"schema":"https://github.com/citation-style-language/schema/raw/master/csl-citation.json"}</w:instrText>
      </w:r>
      <w:r w:rsidRPr="003E499A">
        <w:rPr>
          <w:rFonts w:ascii="Times New Roman" w:hAnsi="Times New Roman" w:cs="Times New Roman"/>
          <w:sz w:val="24"/>
          <w:szCs w:val="24"/>
        </w:rPr>
        <w:fldChar w:fldCharType="separate"/>
      </w:r>
      <w:r w:rsidRPr="003E499A">
        <w:rPr>
          <w:rFonts w:ascii="Times New Roman" w:hAnsi="Times New Roman" w:cs="Times New Roman"/>
          <w:noProof/>
          <w:sz w:val="24"/>
          <w:szCs w:val="24"/>
        </w:rPr>
        <w:t>(Cabinet du Président de la République, 2010)</w:t>
      </w:r>
      <w:r w:rsidRPr="003E499A">
        <w:rPr>
          <w:rFonts w:ascii="Times New Roman" w:hAnsi="Times New Roman" w:cs="Times New Roman"/>
          <w:sz w:val="24"/>
          <w:szCs w:val="24"/>
        </w:rPr>
        <w:fldChar w:fldCharType="end"/>
      </w:r>
      <w:r w:rsidRPr="003E499A">
        <w:rPr>
          <w:rFonts w:ascii="Times New Roman" w:hAnsi="Times New Roman" w:cs="Times New Roman"/>
          <w:sz w:val="24"/>
          <w:szCs w:val="24"/>
        </w:rPr>
        <w:t>.</w:t>
      </w:r>
    </w:p>
    <w:bookmarkEnd w:id="43"/>
    <w:p w:rsidR="00F17E02" w:rsidRPr="003E499A" w:rsidRDefault="00F17E02" w:rsidP="00F37338">
      <w:pPr>
        <w:pStyle w:val="Heading4"/>
      </w:pPr>
      <w:r w:rsidRPr="003E499A">
        <w:t>Rwanda Institutional framework</w:t>
      </w:r>
    </w:p>
    <w:p w:rsidR="00F17E02" w:rsidRPr="003E499A" w:rsidRDefault="00F17E02" w:rsidP="00D0319C">
      <w:pPr>
        <w:spacing w:line="240" w:lineRule="auto"/>
        <w:rPr>
          <w:rFonts w:ascii="Times New Roman" w:hAnsi="Times New Roman" w:cs="Times New Roman"/>
          <w:sz w:val="24"/>
          <w:szCs w:val="24"/>
        </w:rPr>
      </w:pPr>
      <w:r w:rsidRPr="003E499A">
        <w:rPr>
          <w:rFonts w:ascii="Times New Roman" w:hAnsi="Times New Roman" w:cs="Times New Roman"/>
          <w:sz w:val="24"/>
          <w:szCs w:val="24"/>
        </w:rPr>
        <w:t>During the first years of nature conservation in Rwanda, the newly created PAs were managed by the former “</w:t>
      </w:r>
      <w:proofErr w:type="spellStart"/>
      <w:r w:rsidRPr="003E499A">
        <w:rPr>
          <w:rFonts w:ascii="Times New Roman" w:hAnsi="Times New Roman" w:cs="Times New Roman"/>
          <w:sz w:val="24"/>
          <w:szCs w:val="24"/>
        </w:rPr>
        <w:t>Institut</w:t>
      </w:r>
      <w:proofErr w:type="spellEnd"/>
      <w:r w:rsidRPr="003E499A">
        <w:rPr>
          <w:rFonts w:ascii="Times New Roman" w:hAnsi="Times New Roman" w:cs="Times New Roman"/>
          <w:sz w:val="24"/>
          <w:szCs w:val="24"/>
        </w:rPr>
        <w:t xml:space="preserve"> des Parcs </w:t>
      </w:r>
      <w:proofErr w:type="spellStart"/>
      <w:r w:rsidRPr="003E499A">
        <w:rPr>
          <w:rFonts w:ascii="Times New Roman" w:hAnsi="Times New Roman" w:cs="Times New Roman"/>
          <w:sz w:val="24"/>
          <w:szCs w:val="24"/>
        </w:rPr>
        <w:t>Nationaux</w:t>
      </w:r>
      <w:proofErr w:type="spellEnd"/>
      <w:r w:rsidRPr="003E499A">
        <w:rPr>
          <w:rFonts w:ascii="Times New Roman" w:hAnsi="Times New Roman" w:cs="Times New Roman"/>
          <w:sz w:val="24"/>
          <w:szCs w:val="24"/>
        </w:rPr>
        <w:t xml:space="preserve"> du Congo </w:t>
      </w:r>
      <w:proofErr w:type="spellStart"/>
      <w:r w:rsidRPr="003E499A">
        <w:rPr>
          <w:rFonts w:ascii="Times New Roman" w:hAnsi="Times New Roman" w:cs="Times New Roman"/>
          <w:sz w:val="24"/>
          <w:szCs w:val="24"/>
        </w:rPr>
        <w:t>Belge</w:t>
      </w:r>
      <w:proofErr w:type="spellEnd"/>
      <w:r w:rsidRPr="003E499A">
        <w:rPr>
          <w:rFonts w:ascii="Times New Roman" w:hAnsi="Times New Roman" w:cs="Times New Roman"/>
          <w:sz w:val="24"/>
          <w:szCs w:val="24"/>
        </w:rPr>
        <w:t xml:space="preserve">” which was looking over to conservation matters in the three countries colonized by Belgium (Burundi, DRC, and </w:t>
      </w:r>
      <w:r w:rsidRPr="004170B7">
        <w:rPr>
          <w:rFonts w:ascii="Times New Roman" w:hAnsi="Times New Roman" w:cs="Times New Roman"/>
          <w:sz w:val="24"/>
          <w:szCs w:val="24"/>
        </w:rPr>
        <w:t xml:space="preserve">Rwanda). </w:t>
      </w:r>
      <w:r w:rsidR="004170B7" w:rsidRPr="004170B7">
        <w:rPr>
          <w:rFonts w:ascii="Times New Roman" w:hAnsi="Times New Roman" w:cs="Times New Roman"/>
          <w:sz w:val="24"/>
          <w:szCs w:val="24"/>
        </w:rPr>
        <w:t xml:space="preserve">As Rwanda's first wholly-owned conservation public institution, the </w:t>
      </w:r>
      <w:r w:rsidRPr="004170B7">
        <w:rPr>
          <w:rFonts w:ascii="Times New Roman" w:hAnsi="Times New Roman" w:cs="Times New Roman"/>
          <w:sz w:val="24"/>
          <w:szCs w:val="24"/>
        </w:rPr>
        <w:t xml:space="preserve">Rwanda Office of Tourism and National Parks/Office </w:t>
      </w:r>
      <w:proofErr w:type="spellStart"/>
      <w:r w:rsidRPr="004170B7">
        <w:rPr>
          <w:rFonts w:ascii="Times New Roman" w:hAnsi="Times New Roman" w:cs="Times New Roman"/>
          <w:sz w:val="24"/>
          <w:szCs w:val="24"/>
        </w:rPr>
        <w:t>rwandais</w:t>
      </w:r>
      <w:proofErr w:type="spellEnd"/>
      <w:r w:rsidRPr="004170B7">
        <w:rPr>
          <w:rFonts w:ascii="Times New Roman" w:hAnsi="Times New Roman" w:cs="Times New Roman"/>
          <w:sz w:val="24"/>
          <w:szCs w:val="24"/>
        </w:rPr>
        <w:t xml:space="preserve"> du </w:t>
      </w:r>
      <w:proofErr w:type="spellStart"/>
      <w:r w:rsidRPr="004170B7">
        <w:rPr>
          <w:rFonts w:ascii="Times New Roman" w:hAnsi="Times New Roman" w:cs="Times New Roman"/>
          <w:sz w:val="24"/>
          <w:szCs w:val="24"/>
        </w:rPr>
        <w:t>tourisme</w:t>
      </w:r>
      <w:proofErr w:type="spellEnd"/>
      <w:r w:rsidRPr="004170B7">
        <w:rPr>
          <w:rFonts w:ascii="Times New Roman" w:hAnsi="Times New Roman" w:cs="Times New Roman"/>
          <w:sz w:val="24"/>
          <w:szCs w:val="24"/>
        </w:rPr>
        <w:t xml:space="preserve"> et des parcs </w:t>
      </w:r>
      <w:proofErr w:type="spellStart"/>
      <w:r w:rsidRPr="004170B7">
        <w:rPr>
          <w:rFonts w:ascii="Times New Roman" w:hAnsi="Times New Roman" w:cs="Times New Roman"/>
          <w:sz w:val="24"/>
          <w:szCs w:val="24"/>
        </w:rPr>
        <w:t>nationaux</w:t>
      </w:r>
      <w:proofErr w:type="spellEnd"/>
      <w:r w:rsidRPr="004170B7">
        <w:rPr>
          <w:rFonts w:ascii="Times New Roman" w:hAnsi="Times New Roman" w:cs="Times New Roman"/>
          <w:sz w:val="24"/>
          <w:szCs w:val="24"/>
        </w:rPr>
        <w:t xml:space="preserve"> (ORTPN)</w:t>
      </w:r>
      <w:r w:rsidRPr="003E499A">
        <w:rPr>
          <w:rFonts w:ascii="Times New Roman" w:hAnsi="Times New Roman" w:cs="Times New Roman"/>
          <w:sz w:val="24"/>
          <w:szCs w:val="24"/>
        </w:rPr>
        <w:t xml:space="preserve"> was established in 1974 by the 26 April 1974 decree </w:t>
      </w:r>
      <w:r w:rsidRPr="003E499A">
        <w:rPr>
          <w:rFonts w:ascii="Times New Roman" w:hAnsi="Times New Roman" w:cs="Times New Roman"/>
          <w:color w:val="000000" w:themeColor="text1"/>
          <w:sz w:val="24"/>
          <w:szCs w:val="24"/>
        </w:rPr>
        <w:t xml:space="preserve">and lasted for more than three decades. </w:t>
      </w:r>
      <w:r w:rsidRPr="003E499A">
        <w:rPr>
          <w:rFonts w:ascii="Times New Roman" w:hAnsi="Times New Roman" w:cs="Times New Roman"/>
          <w:sz w:val="24"/>
          <w:szCs w:val="24"/>
        </w:rPr>
        <w:t xml:space="preserve">RDB was established in 2008 out of a merger of 8 Government institutions including ORTPN by </w:t>
      </w:r>
      <w:r w:rsidRPr="003E499A">
        <w:rPr>
          <w:rFonts w:ascii="Times New Roman" w:hAnsi="Times New Roman" w:cs="Times New Roman"/>
          <w:color w:val="000000" w:themeColor="text1"/>
          <w:sz w:val="24"/>
          <w:szCs w:val="24"/>
        </w:rPr>
        <w:t xml:space="preserve">the Organic law N° 53/2008 of 02/09/2008, primarily to create a One-Stop-Shop for business and investments </w:t>
      </w:r>
      <w:r w:rsidRPr="003E499A">
        <w:rPr>
          <w:rFonts w:ascii="Times New Roman" w:hAnsi="Times New Roman" w:cs="Times New Roman"/>
          <w:color w:val="000000" w:themeColor="text1"/>
          <w:sz w:val="24"/>
          <w:szCs w:val="24"/>
        </w:rPr>
        <w:fldChar w:fldCharType="begin" w:fldLock="1"/>
      </w:r>
      <w:r w:rsidRPr="003E499A">
        <w:rPr>
          <w:rFonts w:ascii="Times New Roman" w:hAnsi="Times New Roman" w:cs="Times New Roman"/>
          <w:color w:val="000000" w:themeColor="text1"/>
          <w:sz w:val="24"/>
          <w:szCs w:val="24"/>
        </w:rPr>
        <w:instrText>ADDIN CSL_CITATION {"citationItems":[{"id":"ITEM-1","itemData":{"author":[{"dropping-particle":"","family":"The parliament","given":"","non-dropping-particle":"","parse-names":false,"suffix":""}],"container-title":"Official Gazette of the Republic of Rwanda","id":"ITEM-1","issue":"Special","issued":{"date-parts":[["2008"]]},"title":"Organic law No 53/2008 of 02/09/2008 establishing Rwanda Development Board (RDB) and determining its responsibilities, organisation and functioning","type":"article-journal","volume":"05 Septemb"},"uris":["http://www.mendeley.com/documents/?uuid=558e09a9-3c2a-425f-8605-2f7dd083237b"]}],"mendeley":{"formattedCitation":"(The parliament, 2008)","plainTextFormattedCitation":"(The parliament, 2008)","previouslyFormattedCitation":"(The parliament, 2008)"},"properties":{"noteIndex":0},"schema":"https://github.com/citation-style-language/schema/raw/master/csl-citation.json"}</w:instrText>
      </w:r>
      <w:r w:rsidRPr="003E499A">
        <w:rPr>
          <w:rFonts w:ascii="Times New Roman" w:hAnsi="Times New Roman" w:cs="Times New Roman"/>
          <w:color w:val="000000" w:themeColor="text1"/>
          <w:sz w:val="24"/>
          <w:szCs w:val="24"/>
        </w:rPr>
        <w:fldChar w:fldCharType="separate"/>
      </w:r>
      <w:r w:rsidRPr="003E499A">
        <w:rPr>
          <w:rFonts w:ascii="Times New Roman" w:hAnsi="Times New Roman" w:cs="Times New Roman"/>
          <w:noProof/>
          <w:color w:val="000000" w:themeColor="text1"/>
          <w:sz w:val="24"/>
          <w:szCs w:val="24"/>
        </w:rPr>
        <w:t>(The parliament, 2008)</w:t>
      </w:r>
      <w:r w:rsidRPr="003E499A">
        <w:rPr>
          <w:rFonts w:ascii="Times New Roman" w:hAnsi="Times New Roman" w:cs="Times New Roman"/>
          <w:color w:val="000000" w:themeColor="text1"/>
          <w:sz w:val="24"/>
          <w:szCs w:val="24"/>
        </w:rPr>
        <w:fldChar w:fldCharType="end"/>
      </w:r>
      <w:bookmarkStart w:id="45" w:name="_Hlk118475413"/>
      <w:r w:rsidRPr="003E499A">
        <w:rPr>
          <w:rFonts w:ascii="Times New Roman" w:hAnsi="Times New Roman" w:cs="Times New Roman"/>
          <w:color w:val="000000" w:themeColor="text1"/>
          <w:sz w:val="24"/>
          <w:szCs w:val="24"/>
        </w:rPr>
        <w:t xml:space="preserve">. </w:t>
      </w:r>
      <w:bookmarkEnd w:id="45"/>
      <w:r w:rsidRPr="005B383E">
        <w:rPr>
          <w:rFonts w:ascii="Times New Roman" w:hAnsi="Times New Roman" w:cs="Times New Roman"/>
          <w:color w:val="000000" w:themeColor="text1"/>
          <w:sz w:val="24"/>
          <w:szCs w:val="24"/>
        </w:rPr>
        <w:t xml:space="preserve">Its </w:t>
      </w:r>
      <w:r w:rsidR="005B383E" w:rsidRPr="005B383E">
        <w:rPr>
          <w:rFonts w:ascii="Times New Roman" w:hAnsi="Times New Roman" w:cs="Times New Roman"/>
          <w:sz w:val="24"/>
          <w:szCs w:val="24"/>
        </w:rPr>
        <w:t>primary objective is to expedite economic progress in Rwanda by fostering private sector expansion across multiple sectors, encompassing</w:t>
      </w:r>
      <w:r w:rsidRPr="005B383E">
        <w:rPr>
          <w:rFonts w:ascii="Times New Roman" w:hAnsi="Times New Roman" w:cs="Times New Roman"/>
          <w:sz w:val="24"/>
          <w:szCs w:val="24"/>
        </w:rPr>
        <w:t xml:space="preserve"> Tourism and Conservation</w:t>
      </w:r>
      <w:r w:rsidRPr="003E499A">
        <w:rPr>
          <w:rFonts w:ascii="Times New Roman" w:hAnsi="Times New Roman" w:cs="Times New Roman"/>
          <w:sz w:val="24"/>
          <w:szCs w:val="24"/>
        </w:rPr>
        <w:t xml:space="preserve"> </w:t>
      </w:r>
      <w:r w:rsidRPr="003E499A">
        <w:rPr>
          <w:rFonts w:ascii="Times New Roman" w:hAnsi="Times New Roman" w:cs="Times New Roman"/>
          <w:sz w:val="24"/>
          <w:szCs w:val="24"/>
        </w:rPr>
        <w:fldChar w:fldCharType="begin" w:fldLock="1"/>
      </w:r>
      <w:r w:rsidRPr="003E499A">
        <w:rPr>
          <w:rFonts w:ascii="Times New Roman" w:hAnsi="Times New Roman" w:cs="Times New Roman"/>
          <w:sz w:val="24"/>
          <w:szCs w:val="24"/>
        </w:rPr>
        <w:instrText>ADDIN CSL_CITATION {"citationItems":[{"id":"ITEM-1","itemData":{"URL":"https://rdb.rw/about-rdb/#vision-and-mission","accessed":{"date-parts":[["2022","11","12"]]},"author":[{"dropping-particle":"","family":"RDB","given":"","non-dropping-particle":"","parse-names":false,"suffix":""}],"id":"ITEM-1","issued":{"date-parts":[["2022"]]},"title":"About RDB | Official Rwanda Development Board (RDB) Website","type":"webpage"},"uris":["http://www.mendeley.com/documents/?uuid=cad6e8e7-6f78-3cce-878a-754b1c44c25a"]}],"mendeley":{"formattedCitation":"(RDB, 2022)","plainTextFormattedCitation":"(RDB, 2022)","previouslyFormattedCitation":"(RDB, 2022)"},"properties":{"noteIndex":0},"schema":"https://github.com/citation-style-language/schema/raw/master/csl-citation.json"}</w:instrText>
      </w:r>
      <w:r w:rsidRPr="003E499A">
        <w:rPr>
          <w:rFonts w:ascii="Times New Roman" w:hAnsi="Times New Roman" w:cs="Times New Roman"/>
          <w:sz w:val="24"/>
          <w:szCs w:val="24"/>
        </w:rPr>
        <w:fldChar w:fldCharType="separate"/>
      </w:r>
      <w:r w:rsidRPr="003E499A">
        <w:rPr>
          <w:rFonts w:ascii="Times New Roman" w:hAnsi="Times New Roman" w:cs="Times New Roman"/>
          <w:noProof/>
          <w:sz w:val="24"/>
          <w:szCs w:val="24"/>
        </w:rPr>
        <w:t>(RDB, 2022)</w:t>
      </w:r>
      <w:r w:rsidRPr="003E499A">
        <w:rPr>
          <w:rFonts w:ascii="Times New Roman" w:hAnsi="Times New Roman" w:cs="Times New Roman"/>
          <w:sz w:val="24"/>
          <w:szCs w:val="24"/>
        </w:rPr>
        <w:fldChar w:fldCharType="end"/>
      </w:r>
      <w:r w:rsidRPr="003E499A">
        <w:rPr>
          <w:rFonts w:ascii="Times New Roman" w:hAnsi="Times New Roman" w:cs="Times New Roman"/>
          <w:sz w:val="24"/>
          <w:szCs w:val="24"/>
        </w:rPr>
        <w:t xml:space="preserve">. </w:t>
      </w:r>
      <w:r w:rsidRPr="003E499A">
        <w:rPr>
          <w:rFonts w:ascii="Times New Roman" w:hAnsi="Times New Roman" w:cs="Times New Roman"/>
          <w:color w:val="000000" w:themeColor="text1"/>
          <w:sz w:val="24"/>
          <w:szCs w:val="24"/>
        </w:rPr>
        <w:t xml:space="preserve">The institution is called to participate in initiating and implementing policies and strategies in matters relating to tourism and conservation of NPs and other PAs in matters relating to tourism, and advise the Government on the promotion of the tourism sector </w:t>
      </w:r>
      <w:r w:rsidRPr="003E499A">
        <w:rPr>
          <w:rFonts w:ascii="Times New Roman" w:hAnsi="Times New Roman" w:cs="Times New Roman"/>
          <w:color w:val="000000" w:themeColor="text1"/>
          <w:sz w:val="24"/>
          <w:szCs w:val="24"/>
        </w:rPr>
        <w:fldChar w:fldCharType="begin" w:fldLock="1"/>
      </w:r>
      <w:r w:rsidRPr="003E499A">
        <w:rPr>
          <w:rFonts w:ascii="Times New Roman" w:hAnsi="Times New Roman" w:cs="Times New Roman"/>
          <w:color w:val="000000" w:themeColor="text1"/>
          <w:sz w:val="24"/>
          <w:szCs w:val="24"/>
        </w:rPr>
        <w:instrText>ADDIN CSL_CITATION {"citationItems":[{"id":"ITEM-1","itemData":{"author":[{"dropping-particle":"","family":"The Parliament","given":"","non-dropping-particle":"","parse-names":false,"suffix":""}],"container-title":"Official Gazette no Special of 16/06/2013","id":"ITEM-1","issued":{"date-parts":[["2013"]]},"title":"Law No 46/2013 of 16/06/2013 establishing Rwanda Development Board (RDB) and determining its mission, organisation and functioning","type":"legislation"},"uris":["http://www.mendeley.com/documents/?uuid=523ba58d-1ce4-4dee-8f61-950d800912bb"]}],"mendeley":{"formattedCitation":"(The Parliament, 2013)","plainTextFormattedCitation":"(The Parliament, 2013)","previouslyFormattedCitation":"(The Parliament, 2013)"},"properties":{"noteIndex":0},"schema":"https://github.com/citation-style-language/schema/raw/master/csl-citation.json"}</w:instrText>
      </w:r>
      <w:r w:rsidRPr="003E499A">
        <w:rPr>
          <w:rFonts w:ascii="Times New Roman" w:hAnsi="Times New Roman" w:cs="Times New Roman"/>
          <w:color w:val="000000" w:themeColor="text1"/>
          <w:sz w:val="24"/>
          <w:szCs w:val="24"/>
        </w:rPr>
        <w:fldChar w:fldCharType="separate"/>
      </w:r>
      <w:r w:rsidRPr="003E499A">
        <w:rPr>
          <w:rFonts w:ascii="Times New Roman" w:hAnsi="Times New Roman" w:cs="Times New Roman"/>
          <w:noProof/>
          <w:color w:val="000000" w:themeColor="text1"/>
          <w:sz w:val="24"/>
          <w:szCs w:val="24"/>
        </w:rPr>
        <w:t>(The Parliament, 2013)</w:t>
      </w:r>
      <w:r w:rsidRPr="003E499A">
        <w:rPr>
          <w:rFonts w:ascii="Times New Roman" w:hAnsi="Times New Roman" w:cs="Times New Roman"/>
          <w:color w:val="000000" w:themeColor="text1"/>
          <w:sz w:val="24"/>
          <w:szCs w:val="24"/>
        </w:rPr>
        <w:fldChar w:fldCharType="end"/>
      </w:r>
      <w:r w:rsidRPr="003E499A">
        <w:rPr>
          <w:rFonts w:ascii="Times New Roman" w:hAnsi="Times New Roman" w:cs="Times New Roman"/>
          <w:color w:val="000000" w:themeColor="text1"/>
          <w:sz w:val="24"/>
          <w:szCs w:val="24"/>
        </w:rPr>
        <w:t>.</w:t>
      </w:r>
    </w:p>
    <w:p w:rsidR="00F17E02" w:rsidRPr="003E499A" w:rsidRDefault="00F17E02" w:rsidP="00F37338">
      <w:pPr>
        <w:pStyle w:val="Heading4"/>
      </w:pPr>
      <w:r w:rsidRPr="003E499A">
        <w:t>Uganda Institutional framework</w:t>
      </w:r>
    </w:p>
    <w:p w:rsidR="00F17E02" w:rsidRPr="0084739D" w:rsidRDefault="00F17E02" w:rsidP="00D0319C">
      <w:pPr>
        <w:spacing w:line="240" w:lineRule="auto"/>
        <w:rPr>
          <w:rFonts w:ascii="Times New Roman" w:hAnsi="Times New Roman" w:cs="Times New Roman"/>
          <w:color w:val="000000" w:themeColor="text1"/>
          <w:sz w:val="24"/>
          <w:szCs w:val="24"/>
        </w:rPr>
      </w:pPr>
      <w:r w:rsidRPr="003E499A">
        <w:rPr>
          <w:rFonts w:ascii="Times New Roman" w:hAnsi="Times New Roman" w:cs="Times New Roman"/>
          <w:sz w:val="24"/>
          <w:szCs w:val="24"/>
        </w:rPr>
        <w:t>The coordination of conservation and management efforts for Uganda’s wildlife can be traced back since 192</w:t>
      </w:r>
      <w:r w:rsidR="00542081">
        <w:rPr>
          <w:rFonts w:ascii="Times New Roman" w:hAnsi="Times New Roman" w:cs="Times New Roman"/>
          <w:sz w:val="24"/>
          <w:szCs w:val="24"/>
        </w:rPr>
        <w:t>9</w:t>
      </w:r>
      <w:r w:rsidRPr="003E499A">
        <w:rPr>
          <w:rFonts w:ascii="Times New Roman" w:hAnsi="Times New Roman" w:cs="Times New Roman"/>
          <w:sz w:val="24"/>
          <w:szCs w:val="24"/>
        </w:rPr>
        <w:t xml:space="preserve"> with the </w:t>
      </w:r>
      <w:r w:rsidRPr="00054A6C">
        <w:rPr>
          <w:rFonts w:ascii="Times New Roman" w:hAnsi="Times New Roman" w:cs="Times New Roman"/>
          <w:sz w:val="24"/>
          <w:szCs w:val="24"/>
        </w:rPr>
        <w:t xml:space="preserve">establishment of </w:t>
      </w:r>
      <w:r w:rsidR="00542081">
        <w:rPr>
          <w:rFonts w:ascii="Times New Roman" w:hAnsi="Times New Roman" w:cs="Times New Roman"/>
          <w:sz w:val="24"/>
          <w:szCs w:val="24"/>
        </w:rPr>
        <w:t>Uganda National Parks Department</w:t>
      </w:r>
      <w:r w:rsidRPr="00054A6C">
        <w:rPr>
          <w:rFonts w:ascii="Times New Roman" w:hAnsi="Times New Roman" w:cs="Times New Roman"/>
          <w:sz w:val="24"/>
          <w:szCs w:val="24"/>
        </w:rPr>
        <w:t xml:space="preserve">. </w:t>
      </w:r>
      <w:r w:rsidR="00054A6C" w:rsidRPr="00054A6C">
        <w:rPr>
          <w:rFonts w:ascii="Times New Roman" w:hAnsi="Times New Roman" w:cs="Times New Roman"/>
          <w:color w:val="000000" w:themeColor="text1"/>
          <w:sz w:val="24"/>
          <w:szCs w:val="24"/>
        </w:rPr>
        <w:t>The</w:t>
      </w:r>
      <w:r w:rsidR="00054A6C" w:rsidRPr="005B383E">
        <w:rPr>
          <w:rFonts w:ascii="Times New Roman" w:hAnsi="Times New Roman" w:cs="Times New Roman"/>
          <w:color w:val="000000" w:themeColor="text1"/>
          <w:sz w:val="24"/>
          <w:szCs w:val="24"/>
        </w:rPr>
        <w:t xml:space="preserve"> Uganda Game and Fisheries Department </w:t>
      </w:r>
      <w:r w:rsidR="00054A6C">
        <w:rPr>
          <w:rFonts w:ascii="Times New Roman" w:hAnsi="Times New Roman" w:cs="Times New Roman"/>
          <w:color w:val="000000" w:themeColor="text1"/>
          <w:sz w:val="24"/>
          <w:szCs w:val="24"/>
        </w:rPr>
        <w:t xml:space="preserve">afterwards </w:t>
      </w:r>
      <w:r w:rsidR="00054A6C" w:rsidRPr="005B383E">
        <w:rPr>
          <w:rFonts w:ascii="Times New Roman" w:hAnsi="Times New Roman" w:cs="Times New Roman"/>
          <w:color w:val="000000" w:themeColor="text1"/>
          <w:sz w:val="24"/>
          <w:szCs w:val="24"/>
        </w:rPr>
        <w:t xml:space="preserve">evolved into the primary wildlife conservation agency for the Uganda Protectorate. Subsequently, it merged with the Uganda National Parks Department, forming the present-day Uganda Wildlife Authority (UWA) under the Uganda Wildlife Statute of 1996 </w:t>
      </w:r>
      <w:r w:rsidRPr="005B383E">
        <w:rPr>
          <w:rFonts w:ascii="Times New Roman" w:hAnsi="Times New Roman" w:cs="Times New Roman"/>
          <w:color w:val="000000" w:themeColor="text1"/>
          <w:sz w:val="24"/>
          <w:szCs w:val="24"/>
        </w:rPr>
        <w:fldChar w:fldCharType="begin" w:fldLock="1"/>
      </w:r>
      <w:r w:rsidRPr="005B383E">
        <w:rPr>
          <w:rFonts w:ascii="Times New Roman" w:hAnsi="Times New Roman" w:cs="Times New Roman"/>
          <w:color w:val="000000" w:themeColor="text1"/>
          <w:sz w:val="24"/>
          <w:szCs w:val="24"/>
        </w:rPr>
        <w:instrText>ADDIN CSL_CITATION {"citationItems":[{"id":"ITEM-1","itemData":{"author":[{"dropping-particle":"","family":"National Resistance Council","given":"","non-dropping-particle":"","parse-names":false,"suffix":""}],"id":"ITEM-1","issue":"14","issued":{"date-parts":[["1996"]]},"page":"1-58","title":"Uganda wildlife statute","type":"article-journal"},"uris":["http://www.mendeley.com/documents/?uuid=93a91b54-8566-41f5-a4ab-2f6165d66f3c"]}],"mendeley":{"formattedCitation":"(National Resistance Council, 1996)","plainTextFormattedCitation":"(National Resistance Council, 1996)","previouslyFormattedCitation":"(National Resistance Council, 1996)"},"properties":{"noteIndex":0},"schema":"https://github.com/citation-style-language/schema/raw/master/csl-citation.json"}</w:instrText>
      </w:r>
      <w:r w:rsidRPr="005B383E">
        <w:rPr>
          <w:rFonts w:ascii="Times New Roman" w:hAnsi="Times New Roman" w:cs="Times New Roman"/>
          <w:color w:val="000000" w:themeColor="text1"/>
          <w:sz w:val="24"/>
          <w:szCs w:val="24"/>
        </w:rPr>
        <w:fldChar w:fldCharType="separate"/>
      </w:r>
      <w:r w:rsidRPr="005B383E">
        <w:rPr>
          <w:rFonts w:ascii="Times New Roman" w:hAnsi="Times New Roman" w:cs="Times New Roman"/>
          <w:noProof/>
          <w:color w:val="000000" w:themeColor="text1"/>
          <w:sz w:val="24"/>
          <w:szCs w:val="24"/>
        </w:rPr>
        <w:t>(National Resistance Council, 1996)</w:t>
      </w:r>
      <w:r w:rsidRPr="005B383E">
        <w:rPr>
          <w:rFonts w:ascii="Times New Roman" w:hAnsi="Times New Roman" w:cs="Times New Roman"/>
          <w:color w:val="000000" w:themeColor="text1"/>
          <w:sz w:val="24"/>
          <w:szCs w:val="24"/>
        </w:rPr>
        <w:fldChar w:fldCharType="end"/>
      </w:r>
      <w:r w:rsidRPr="005B383E">
        <w:rPr>
          <w:rFonts w:ascii="Times New Roman" w:hAnsi="Times New Roman" w:cs="Times New Roman"/>
          <w:color w:val="000000" w:themeColor="text1"/>
          <w:sz w:val="24"/>
          <w:szCs w:val="24"/>
        </w:rPr>
        <w:t xml:space="preserve">. </w:t>
      </w:r>
      <w:r w:rsidR="00054A6C" w:rsidRPr="005B383E">
        <w:rPr>
          <w:rFonts w:ascii="Times New Roman" w:hAnsi="Times New Roman" w:cs="Times New Roman"/>
          <w:color w:val="000000" w:themeColor="text1"/>
          <w:sz w:val="24"/>
          <w:szCs w:val="24"/>
        </w:rPr>
        <w:t>The 2019 amendments directed the UWA to economically preserve and sustainably oversee wildlife both within and outside protected areas in Uganda, in collaboration with local communities and stakeholders for the advantage of Ugandans and the global community, as stated in the Uganda Wildlife Act of</w:t>
      </w:r>
      <w:r w:rsidR="00054A6C">
        <w:rPr>
          <w:rFonts w:ascii="Times New Roman" w:hAnsi="Times New Roman" w:cs="Times New Roman"/>
          <w:color w:val="000000" w:themeColor="text1"/>
          <w:sz w:val="24"/>
          <w:szCs w:val="24"/>
        </w:rPr>
        <w:t xml:space="preserve"> 2019</w:t>
      </w:r>
      <w:r w:rsidR="0084739D">
        <w:rPr>
          <w:rFonts w:ascii="Times New Roman" w:hAnsi="Times New Roman" w:cs="Times New Roman"/>
          <w:color w:val="000000" w:themeColor="text1"/>
          <w:sz w:val="24"/>
          <w:szCs w:val="24"/>
        </w:rPr>
        <w:t xml:space="preserve"> </w:t>
      </w:r>
      <w:r w:rsidRPr="005B383E">
        <w:rPr>
          <w:rFonts w:ascii="Times New Roman" w:hAnsi="Times New Roman" w:cs="Times New Roman"/>
          <w:color w:val="000000" w:themeColor="text1"/>
          <w:sz w:val="24"/>
          <w:szCs w:val="24"/>
        </w:rPr>
        <w:fldChar w:fldCharType="begin" w:fldLock="1"/>
      </w:r>
      <w:r w:rsidRPr="005B383E">
        <w:rPr>
          <w:rFonts w:ascii="Times New Roman" w:hAnsi="Times New Roman" w:cs="Times New Roman"/>
          <w:color w:val="000000" w:themeColor="text1"/>
          <w:sz w:val="24"/>
          <w:szCs w:val="24"/>
        </w:rPr>
        <w:instrText>ADDIN CSL_CITATION {"citationItems":[{"id":"ITEM-1","itemData":{"author":[{"dropping-particle":"","family":"Parliament of Uganda","given":"","non-dropping-particle":"","parse-names":false,"suffix":""}],"container-title":"The Uganda Gazette No. 49, Volume CXII, dated 27th September, 2019","id":"ITEM-1","issue":"10","issued":{"date-parts":[["2019"]]},"page":"1-99","title":"Uganda wildlife act","type":"article-journal","volume":"CXII"},"uris":["http://www.mendeley.com/documents/?uuid=89eb7d22-1890-4881-8576-5d4865a6f4a1"]}],"mendeley":{"formattedCitation":"(Parliament of Uganda, 2019)","plainTextFormattedCitation":"(Parliament of Uganda, 2019)","previouslyFormattedCitation":"(Parliament of Uganda, 2019)"},"properties":{"noteIndex":0},"schema":"https://github.com/citation-style-language/schema/raw/master/csl-citation.json"}</w:instrText>
      </w:r>
      <w:r w:rsidRPr="005B383E">
        <w:rPr>
          <w:rFonts w:ascii="Times New Roman" w:hAnsi="Times New Roman" w:cs="Times New Roman"/>
          <w:color w:val="000000" w:themeColor="text1"/>
          <w:sz w:val="24"/>
          <w:szCs w:val="24"/>
        </w:rPr>
        <w:fldChar w:fldCharType="separate"/>
      </w:r>
      <w:r w:rsidRPr="005B383E">
        <w:rPr>
          <w:rFonts w:ascii="Times New Roman" w:hAnsi="Times New Roman" w:cs="Times New Roman"/>
          <w:noProof/>
          <w:color w:val="000000" w:themeColor="text1"/>
          <w:sz w:val="24"/>
          <w:szCs w:val="24"/>
        </w:rPr>
        <w:t>(Parliament of Uganda, 2019)</w:t>
      </w:r>
      <w:r w:rsidRPr="005B383E">
        <w:rPr>
          <w:rFonts w:ascii="Times New Roman" w:hAnsi="Times New Roman" w:cs="Times New Roman"/>
          <w:color w:val="000000" w:themeColor="text1"/>
          <w:sz w:val="24"/>
          <w:szCs w:val="24"/>
        </w:rPr>
        <w:fldChar w:fldCharType="end"/>
      </w:r>
      <w:r w:rsidRPr="005B383E">
        <w:rPr>
          <w:rFonts w:ascii="Times New Roman" w:hAnsi="Times New Roman" w:cs="Times New Roman"/>
          <w:color w:val="000000" w:themeColor="text1"/>
          <w:sz w:val="24"/>
          <w:szCs w:val="24"/>
        </w:rPr>
        <w:t xml:space="preserve">. </w:t>
      </w:r>
      <w:r w:rsidR="005B383E" w:rsidRPr="005B383E">
        <w:rPr>
          <w:rFonts w:ascii="Times New Roman" w:hAnsi="Times New Roman" w:cs="Times New Roman"/>
          <w:color w:val="000000" w:themeColor="text1"/>
          <w:sz w:val="24"/>
          <w:szCs w:val="24"/>
        </w:rPr>
        <w:t xml:space="preserve">As of April 2020, the UWA administers ten </w:t>
      </w:r>
      <w:r w:rsidR="0084739D">
        <w:rPr>
          <w:rFonts w:ascii="Times New Roman" w:hAnsi="Times New Roman" w:cs="Times New Roman"/>
          <w:color w:val="000000" w:themeColor="text1"/>
          <w:sz w:val="24"/>
          <w:szCs w:val="24"/>
        </w:rPr>
        <w:t>NPs</w:t>
      </w:r>
      <w:r w:rsidR="005B383E" w:rsidRPr="005B383E">
        <w:rPr>
          <w:rFonts w:ascii="Times New Roman" w:hAnsi="Times New Roman" w:cs="Times New Roman"/>
          <w:color w:val="000000" w:themeColor="text1"/>
          <w:sz w:val="24"/>
          <w:szCs w:val="24"/>
        </w:rPr>
        <w:t xml:space="preserve">, </w:t>
      </w:r>
      <w:r w:rsidR="0084739D">
        <w:rPr>
          <w:rFonts w:ascii="Times New Roman" w:hAnsi="Times New Roman" w:cs="Times New Roman"/>
          <w:color w:val="000000" w:themeColor="text1"/>
          <w:sz w:val="24"/>
          <w:szCs w:val="24"/>
        </w:rPr>
        <w:t>12</w:t>
      </w:r>
      <w:r w:rsidR="005B383E" w:rsidRPr="005B383E">
        <w:rPr>
          <w:rFonts w:ascii="Times New Roman" w:hAnsi="Times New Roman" w:cs="Times New Roman"/>
          <w:color w:val="000000" w:themeColor="text1"/>
          <w:sz w:val="24"/>
          <w:szCs w:val="24"/>
        </w:rPr>
        <w:t xml:space="preserve"> wildlife reserves, and </w:t>
      </w:r>
      <w:r w:rsidR="0084739D">
        <w:rPr>
          <w:rFonts w:ascii="Times New Roman" w:hAnsi="Times New Roman" w:cs="Times New Roman"/>
          <w:color w:val="000000" w:themeColor="text1"/>
          <w:sz w:val="24"/>
          <w:szCs w:val="24"/>
        </w:rPr>
        <w:t>14</w:t>
      </w:r>
      <w:r w:rsidR="005B383E" w:rsidRPr="005B383E">
        <w:rPr>
          <w:rFonts w:ascii="Times New Roman" w:hAnsi="Times New Roman" w:cs="Times New Roman"/>
          <w:color w:val="000000" w:themeColor="text1"/>
          <w:sz w:val="24"/>
          <w:szCs w:val="24"/>
        </w:rPr>
        <w:t xml:space="preserve"> wildlife sanctuaries. Additionally, </w:t>
      </w:r>
      <w:r w:rsidR="0084739D">
        <w:rPr>
          <w:rFonts w:ascii="Times New Roman" w:hAnsi="Times New Roman" w:cs="Times New Roman"/>
          <w:color w:val="000000" w:themeColor="text1"/>
          <w:sz w:val="24"/>
          <w:szCs w:val="24"/>
        </w:rPr>
        <w:t>UWA</w:t>
      </w:r>
      <w:r w:rsidR="005B383E" w:rsidRPr="005B383E">
        <w:rPr>
          <w:rFonts w:ascii="Times New Roman" w:hAnsi="Times New Roman" w:cs="Times New Roman"/>
          <w:color w:val="000000" w:themeColor="text1"/>
          <w:sz w:val="24"/>
          <w:szCs w:val="24"/>
        </w:rPr>
        <w:t xml:space="preserve"> offers guidance for five community wildlife areas.</w:t>
      </w:r>
    </w:p>
    <w:p w:rsidR="00F17E02" w:rsidRPr="0084739D" w:rsidRDefault="00F17E02" w:rsidP="00F37338">
      <w:pPr>
        <w:pStyle w:val="Heading4"/>
      </w:pPr>
      <w:r w:rsidRPr="0084739D">
        <w:t>USA Institutional framework</w:t>
      </w:r>
    </w:p>
    <w:p w:rsidR="00F17E02" w:rsidRPr="003E499A" w:rsidRDefault="00F17E02" w:rsidP="00D0319C">
      <w:pPr>
        <w:spacing w:line="240" w:lineRule="auto"/>
      </w:pPr>
      <w:r w:rsidRPr="0084739D">
        <w:rPr>
          <w:rFonts w:ascii="Times New Roman" w:hAnsi="Times New Roman" w:cs="Times New Roman"/>
          <w:sz w:val="24"/>
          <w:szCs w:val="24"/>
        </w:rPr>
        <w:t>The National Park Service Organic Act</w:t>
      </w:r>
      <w:r w:rsidR="0084739D" w:rsidRPr="0084739D">
        <w:rPr>
          <w:rFonts w:ascii="Times New Roman" w:hAnsi="Times New Roman" w:cs="Times New Roman"/>
          <w:sz w:val="24"/>
          <w:szCs w:val="24"/>
        </w:rPr>
        <w:t>,</w:t>
      </w:r>
      <w:r w:rsidRPr="0084739D">
        <w:rPr>
          <w:rFonts w:ascii="Times New Roman" w:hAnsi="Times New Roman" w:cs="Times New Roman"/>
          <w:sz w:val="24"/>
          <w:szCs w:val="24"/>
        </w:rPr>
        <w:t xml:space="preserve"> 1916 </w:t>
      </w:r>
      <w:r w:rsidR="0084739D" w:rsidRPr="0084739D">
        <w:rPr>
          <w:rFonts w:ascii="Times New Roman" w:hAnsi="Times New Roman" w:cs="Times New Roman"/>
          <w:sz w:val="24"/>
          <w:szCs w:val="24"/>
        </w:rPr>
        <w:t xml:space="preserve">established </w:t>
      </w:r>
      <w:r w:rsidRPr="0084739D">
        <w:rPr>
          <w:rFonts w:ascii="Times New Roman" w:hAnsi="Times New Roman" w:cs="Times New Roman"/>
          <w:sz w:val="24"/>
          <w:szCs w:val="24"/>
        </w:rPr>
        <w:t xml:space="preserve">the National Park Service (NPS), a US federal government agency </w:t>
      </w:r>
      <w:r w:rsidR="0084739D" w:rsidRPr="0084739D">
        <w:rPr>
          <w:rFonts w:ascii="Times New Roman" w:hAnsi="Times New Roman" w:cs="Times New Roman"/>
          <w:sz w:val="24"/>
          <w:szCs w:val="24"/>
        </w:rPr>
        <w:t xml:space="preserve">responsible for managing </w:t>
      </w:r>
      <w:r w:rsidRPr="0084739D">
        <w:rPr>
          <w:rFonts w:ascii="Times New Roman" w:hAnsi="Times New Roman" w:cs="Times New Roman"/>
          <w:sz w:val="24"/>
          <w:szCs w:val="24"/>
        </w:rPr>
        <w:t>all federal PAs,</w:t>
      </w:r>
      <w:r w:rsidRPr="003E499A">
        <w:rPr>
          <w:rFonts w:ascii="Times New Roman" w:hAnsi="Times New Roman" w:cs="Times New Roman"/>
          <w:sz w:val="24"/>
          <w:szCs w:val="24"/>
        </w:rPr>
        <w:t xml:space="preserve"> and has tasked it with a dual mandate, both to conserve and preserve the scenery, natural, cultural, and other park resources, but also at the same time manage them in such a manner and by such means that will leave them unimpaired for the enjoyment of future generations. Currently, the NPS is a bureau of the U.S. Department of the Interior. NPS staff fulfil their difficult mission through collaboration efforts with volunteers, and partners. Though the NPS has the ultimate mission to look over federal PAs, it</w:t>
      </w:r>
      <w:r w:rsidR="00712BB8">
        <w:rPr>
          <w:rFonts w:ascii="Times New Roman" w:hAnsi="Times New Roman" w:cs="Times New Roman"/>
          <w:sz w:val="24"/>
          <w:szCs w:val="24"/>
        </w:rPr>
        <w:t xml:space="preserve"> i</w:t>
      </w:r>
      <w:r w:rsidRPr="003E499A">
        <w:rPr>
          <w:rFonts w:ascii="Times New Roman" w:hAnsi="Times New Roman" w:cs="Times New Roman"/>
          <w:sz w:val="24"/>
          <w:szCs w:val="24"/>
        </w:rPr>
        <w:t xml:space="preserve">s both public and private partners contribute to making the preservation mission extend beyond </w:t>
      </w:r>
      <w:r w:rsidRPr="0084739D">
        <w:rPr>
          <w:rFonts w:ascii="Times New Roman" w:hAnsi="Times New Roman" w:cs="Times New Roman"/>
          <w:sz w:val="24"/>
          <w:szCs w:val="24"/>
        </w:rPr>
        <w:t xml:space="preserve">the federal </w:t>
      </w:r>
      <w:r w:rsidRPr="0084739D">
        <w:rPr>
          <w:rFonts w:ascii="Times New Roman" w:hAnsi="Times New Roman" w:cs="Times New Roman"/>
          <w:color w:val="000000" w:themeColor="text1"/>
          <w:sz w:val="24"/>
          <w:szCs w:val="24"/>
        </w:rPr>
        <w:t xml:space="preserve">level </w:t>
      </w:r>
      <w:r w:rsidRPr="0084739D">
        <w:rPr>
          <w:rFonts w:ascii="Times New Roman" w:hAnsi="Times New Roman" w:cs="Times New Roman"/>
          <w:color w:val="000000" w:themeColor="text1"/>
          <w:sz w:val="24"/>
          <w:szCs w:val="24"/>
        </w:rPr>
        <w:fldChar w:fldCharType="begin" w:fldLock="1"/>
      </w:r>
      <w:r w:rsidRPr="0084739D">
        <w:rPr>
          <w:rFonts w:ascii="Times New Roman" w:hAnsi="Times New Roman" w:cs="Times New Roman"/>
          <w:color w:val="000000" w:themeColor="text1"/>
          <w:sz w:val="24"/>
          <w:szCs w:val="24"/>
        </w:rPr>
        <w:instrText>ADDIN CSL_CITATION {"citationItems":[{"id":"ITEM-1","itemData":{"URL":"https://npspolicy.nps.gov/getlaws.cfm","accessed":{"date-parts":[["2022","11","12"]]},"author":[{"dropping-particle":"","family":"U.S. National Park Service","given":"","non-dropping-particle":"","parse-names":false,"suffix":""}],"id":"ITEM-1","issued":{"date-parts":[["2022"]]},"title":"Related Laws NPS Office of Policy","type":"webpage"},"uris":["http://www.mendeley.com/documents/?uuid=cd6b78b5-0a97-306f-b2b4-d5ab36059fbd"]},{"id":"ITEM-2","itemData":{"ISBN":"0160768748","author":[{"dropping-particle":"","family":"U.S. National Park Service","given":"","non-dropping-particle":"","parse-names":false,"suffix":""}],"id":"ITEM-2","issued":{"date-parts":[["2006"]]},"publisher-place":"Washington","title":"Management policies 2006","type":"report"},"uris":["http://www.mendeley.com/documents/?uuid=091dec20-bc16-42b4-acce-0a050e0e93ee"]}],"mendeley":{"formattedCitation":"(U.S. National Park Service, 2006, 2022)","plainTextFormattedCitation":"(U.S. National Park Service, 2006, 2022)","previouslyFormattedCitation":"(U.S. National Park Service, 2006, 2022)"},"properties":{"noteIndex":0},"schema":"https://github.com/citation-style-language/schema/raw/master/csl-citation.json"}</w:instrText>
      </w:r>
      <w:r w:rsidRPr="0084739D">
        <w:rPr>
          <w:rFonts w:ascii="Times New Roman" w:hAnsi="Times New Roman" w:cs="Times New Roman"/>
          <w:color w:val="000000" w:themeColor="text1"/>
          <w:sz w:val="24"/>
          <w:szCs w:val="24"/>
        </w:rPr>
        <w:fldChar w:fldCharType="separate"/>
      </w:r>
      <w:r w:rsidRPr="0084739D">
        <w:rPr>
          <w:rFonts w:ascii="Times New Roman" w:hAnsi="Times New Roman" w:cs="Times New Roman"/>
          <w:noProof/>
          <w:color w:val="000000" w:themeColor="text1"/>
          <w:sz w:val="24"/>
          <w:szCs w:val="24"/>
        </w:rPr>
        <w:t>(U.S. National Park Service, 2006, 2022)</w:t>
      </w:r>
      <w:r w:rsidRPr="0084739D">
        <w:rPr>
          <w:rFonts w:ascii="Times New Roman" w:hAnsi="Times New Roman" w:cs="Times New Roman"/>
          <w:color w:val="000000" w:themeColor="text1"/>
          <w:sz w:val="24"/>
          <w:szCs w:val="24"/>
        </w:rPr>
        <w:fldChar w:fldCharType="end"/>
      </w:r>
      <w:r w:rsidRPr="0084739D">
        <w:rPr>
          <w:rFonts w:ascii="Times New Roman" w:hAnsi="Times New Roman" w:cs="Times New Roman"/>
          <w:color w:val="000000" w:themeColor="text1"/>
          <w:sz w:val="24"/>
          <w:szCs w:val="24"/>
        </w:rPr>
        <w:t>.</w:t>
      </w:r>
    </w:p>
    <w:p w:rsidR="00F17E02" w:rsidRPr="003E499A" w:rsidRDefault="00F17E02" w:rsidP="00D0319C">
      <w:pPr>
        <w:pStyle w:val="Heading3"/>
      </w:pPr>
      <w:bookmarkStart w:id="46" w:name="_Hlk114432702"/>
      <w:r w:rsidRPr="003E499A">
        <w:t>Conclusion on Institutional framework</w:t>
      </w:r>
    </w:p>
    <w:bookmarkEnd w:id="46"/>
    <w:p w:rsidR="00F17E02" w:rsidRPr="003E499A" w:rsidRDefault="00F17E02" w:rsidP="00F17E02">
      <w:pPr>
        <w:spacing w:line="240" w:lineRule="auto"/>
        <w:rPr>
          <w:rFonts w:ascii="Times New Roman" w:hAnsi="Times New Roman" w:cs="Times New Roman"/>
          <w:sz w:val="24"/>
          <w:szCs w:val="24"/>
        </w:rPr>
      </w:pPr>
      <w:r w:rsidRPr="003E499A">
        <w:rPr>
          <w:rFonts w:ascii="Times New Roman" w:hAnsi="Times New Roman" w:cs="Times New Roman"/>
          <w:sz w:val="24"/>
          <w:szCs w:val="24"/>
        </w:rPr>
        <w:t xml:space="preserve">The DRC, Rwanda, Uganda, and the USA each possess a centralised institution with attributions related to the management of PAs. However, while ICCN, UWA, and NPS are </w:t>
      </w:r>
      <w:r w:rsidRPr="003E499A">
        <w:rPr>
          <w:rFonts w:ascii="Times New Roman" w:hAnsi="Times New Roman" w:cs="Times New Roman"/>
          <w:sz w:val="24"/>
          <w:szCs w:val="24"/>
        </w:rPr>
        <w:lastRenderedPageBreak/>
        <w:t xml:space="preserve">exclusively tasked to oversee the management of all national PAs and all matters of biodiversity conservation in DRC, Uganda, and the USA; there is a bit of difference when it comes to RDB whose main attribution is about accelerating Rwanda's economic development by enabling private sector growth, and matters of PAs conservation only just being one of its many attributions. Another key point of divergence lies in the type of conservation supported by the institution. While the NPS manages scenic, ecological, geological, historical, and cultural resources, as well as protected wetlands and tourism, the figure </w:t>
      </w:r>
      <w:r w:rsidR="005F4539">
        <w:rPr>
          <w:rFonts w:ascii="Times New Roman" w:hAnsi="Times New Roman" w:cs="Times New Roman"/>
          <w:sz w:val="24"/>
          <w:szCs w:val="24"/>
        </w:rPr>
        <w:t>3.3</w:t>
      </w:r>
      <w:r w:rsidRPr="003E499A">
        <w:rPr>
          <w:rFonts w:ascii="Times New Roman" w:hAnsi="Times New Roman" w:cs="Times New Roman"/>
          <w:sz w:val="24"/>
          <w:szCs w:val="24"/>
        </w:rPr>
        <w:t xml:space="preserve"> shows the non-inclusion of historical and cultural resources to the conservation mission of ICCN, RDB, and UWA.</w:t>
      </w:r>
    </w:p>
    <w:p w:rsidR="00F17E02" w:rsidRPr="003E499A" w:rsidRDefault="00BE7E0F" w:rsidP="00F17E02">
      <w:pPr>
        <w:keepNext/>
        <w:spacing w:line="240" w:lineRule="auto"/>
      </w:pPr>
      <w:r>
        <w:rPr>
          <w:noProof/>
        </w:rPr>
        <w:drawing>
          <wp:inline distT="0" distB="0" distL="0" distR="0" wp14:anchorId="7A4D7BF7" wp14:editId="5ECF9E97">
            <wp:extent cx="5731510" cy="2961005"/>
            <wp:effectExtent l="0" t="0" r="2540" b="10795"/>
            <wp:docPr id="474466270" name="Chart 1">
              <a:extLst xmlns:a="http://schemas.openxmlformats.org/drawingml/2006/main">
                <a:ext uri="{FF2B5EF4-FFF2-40B4-BE49-F238E27FC236}">
                  <a16:creationId xmlns:a16="http://schemas.microsoft.com/office/drawing/2014/main" id="{A80B5A46-9A43-5ABA-5D64-BBFC59D89A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F17E02" w:rsidRPr="003E499A" w:rsidRDefault="00F17E02" w:rsidP="00F17E02">
      <w:pPr>
        <w:pStyle w:val="Caption"/>
        <w:jc w:val="left"/>
      </w:pPr>
      <w:r w:rsidRPr="003E499A">
        <w:t xml:space="preserve">Figure </w:t>
      </w:r>
      <w:fldSimple w:instr=" STYLEREF 1 \s ">
        <w:r w:rsidR="008F575F">
          <w:rPr>
            <w:noProof/>
          </w:rPr>
          <w:t>3</w:t>
        </w:r>
      </w:fldSimple>
      <w:r w:rsidR="008F575F">
        <w:t>.</w:t>
      </w:r>
      <w:fldSimple w:instr=" SEQ Figure \* ARABIC \s 1 ">
        <w:r w:rsidR="008F575F">
          <w:rPr>
            <w:noProof/>
          </w:rPr>
          <w:t>3</w:t>
        </w:r>
      </w:fldSimple>
      <w:r w:rsidR="00CA6D46">
        <w:t>.</w:t>
      </w:r>
      <w:r w:rsidRPr="003E499A">
        <w:t xml:space="preserve"> Comparative board on the attributions of conservation institutions in DRC, Rwanda, Uganda, and </w:t>
      </w:r>
      <w:r w:rsidR="00406913">
        <w:t xml:space="preserve">the </w:t>
      </w:r>
      <w:r w:rsidRPr="003E499A">
        <w:t>USA</w:t>
      </w:r>
    </w:p>
    <w:p w:rsidR="009C0F61" w:rsidRPr="003E499A" w:rsidRDefault="009C0F61" w:rsidP="00F17E02">
      <w:pPr>
        <w:spacing w:line="240" w:lineRule="auto"/>
        <w:rPr>
          <w:rFonts w:ascii="Times New Roman" w:hAnsi="Times New Roman" w:cs="Times New Roman"/>
          <w:sz w:val="24"/>
          <w:szCs w:val="24"/>
        </w:rPr>
      </w:pPr>
    </w:p>
    <w:p w:rsidR="00F17E02" w:rsidRPr="003E499A" w:rsidRDefault="00F17E02" w:rsidP="00D0319C">
      <w:pPr>
        <w:pStyle w:val="Heading2"/>
      </w:pPr>
      <w:r w:rsidRPr="003E499A">
        <w:t>PAs network</w:t>
      </w:r>
    </w:p>
    <w:p w:rsidR="00F17E02" w:rsidRPr="003E499A" w:rsidRDefault="00F17E02" w:rsidP="00D0319C">
      <w:pPr>
        <w:pStyle w:val="Heading3"/>
      </w:pPr>
      <w:bookmarkStart w:id="47" w:name="_Hlk118608707"/>
      <w:r w:rsidRPr="003E499A">
        <w:t>DRC, Rwanda, Uganda</w:t>
      </w:r>
      <w:r w:rsidR="001A1E8E">
        <w:t>, and</w:t>
      </w:r>
      <w:r w:rsidRPr="003E499A">
        <w:t xml:space="preserve"> </w:t>
      </w:r>
      <w:r w:rsidR="001A1E8E" w:rsidRPr="003E499A">
        <w:t xml:space="preserve">USA </w:t>
      </w:r>
      <w:r w:rsidRPr="003E499A">
        <w:t>PAs network</w:t>
      </w:r>
    </w:p>
    <w:p w:rsidR="00F17E02" w:rsidRPr="003E499A" w:rsidRDefault="00F17E02" w:rsidP="00F37338">
      <w:pPr>
        <w:pStyle w:val="Heading4"/>
      </w:pPr>
      <w:bookmarkStart w:id="48" w:name="_Hlk114433525"/>
      <w:bookmarkEnd w:id="47"/>
      <w:r w:rsidRPr="003E499A">
        <w:t>DRC</w:t>
      </w:r>
      <w:r w:rsidR="00C54CB2">
        <w:t>, Rwanda, and Uganda’s</w:t>
      </w:r>
      <w:r w:rsidRPr="003E499A">
        <w:t xml:space="preserve"> PAs network</w:t>
      </w:r>
    </w:p>
    <w:p w:rsidR="00F17E02" w:rsidRDefault="00F17E02" w:rsidP="00D0319C">
      <w:pPr>
        <w:spacing w:line="240" w:lineRule="auto"/>
        <w:rPr>
          <w:rFonts w:ascii="Times New Roman" w:hAnsi="Times New Roman" w:cs="Times New Roman"/>
          <w:sz w:val="24"/>
          <w:szCs w:val="24"/>
        </w:rPr>
      </w:pPr>
      <w:r w:rsidRPr="003E499A">
        <w:rPr>
          <w:rFonts w:ascii="Times New Roman" w:hAnsi="Times New Roman" w:cs="Times New Roman"/>
          <w:sz w:val="24"/>
          <w:szCs w:val="24"/>
        </w:rPr>
        <w:t xml:space="preserve">Seven categories of PAs exist in the DRC: </w:t>
      </w:r>
      <w:bookmarkStart w:id="49" w:name="_Hlk118603241"/>
      <w:r w:rsidRPr="003E499A">
        <w:rPr>
          <w:rFonts w:ascii="Times New Roman" w:hAnsi="Times New Roman" w:cs="Times New Roman"/>
          <w:sz w:val="24"/>
          <w:szCs w:val="24"/>
        </w:rPr>
        <w:t xml:space="preserve">(1). National Park, (2). </w:t>
      </w:r>
      <w:bookmarkEnd w:id="49"/>
      <w:r w:rsidRPr="003E499A">
        <w:rPr>
          <w:rFonts w:ascii="Times New Roman" w:hAnsi="Times New Roman" w:cs="Times New Roman"/>
          <w:sz w:val="24"/>
          <w:szCs w:val="24"/>
        </w:rPr>
        <w:t>Biosphere Reserve, (3). Wildlife Reserve, (4) Nature Reserve, (5). Scientific Reserve, (6). Community Reserve, and (7). Hunting Reserve. The table</w:t>
      </w:r>
      <w:r w:rsidR="004129E8">
        <w:rPr>
          <w:rFonts w:ascii="Times New Roman" w:hAnsi="Times New Roman" w:cs="Times New Roman"/>
          <w:sz w:val="24"/>
          <w:szCs w:val="24"/>
        </w:rPr>
        <w:t xml:space="preserve"> 3.</w:t>
      </w:r>
      <w:r>
        <w:rPr>
          <w:rFonts w:ascii="Times New Roman" w:hAnsi="Times New Roman" w:cs="Times New Roman"/>
          <w:sz w:val="24"/>
          <w:szCs w:val="24"/>
        </w:rPr>
        <w:t>5</w:t>
      </w:r>
      <w:r w:rsidRPr="003E499A">
        <w:rPr>
          <w:rFonts w:ascii="Times New Roman" w:hAnsi="Times New Roman" w:cs="Times New Roman"/>
          <w:sz w:val="24"/>
          <w:szCs w:val="24"/>
        </w:rPr>
        <w:t xml:space="preserve"> and Figure 3</w:t>
      </w:r>
      <w:r w:rsidR="004129E8">
        <w:rPr>
          <w:rFonts w:ascii="Times New Roman" w:hAnsi="Times New Roman" w:cs="Times New Roman"/>
          <w:sz w:val="24"/>
          <w:szCs w:val="24"/>
        </w:rPr>
        <w:t>.4</w:t>
      </w:r>
      <w:r w:rsidRPr="003E499A">
        <w:rPr>
          <w:rFonts w:ascii="Times New Roman" w:hAnsi="Times New Roman" w:cs="Times New Roman"/>
          <w:sz w:val="24"/>
          <w:szCs w:val="24"/>
        </w:rPr>
        <w:t xml:space="preserve"> show the number of units for each category of PA, the average covered area for each type, and the standard deviation. As pointed out on the Figure </w:t>
      </w:r>
      <w:r w:rsidR="009D3F68">
        <w:rPr>
          <w:rFonts w:ascii="Times New Roman" w:hAnsi="Times New Roman" w:cs="Times New Roman"/>
          <w:sz w:val="24"/>
          <w:szCs w:val="24"/>
        </w:rPr>
        <w:t>3.5</w:t>
      </w:r>
      <w:r w:rsidRPr="003E499A">
        <w:rPr>
          <w:rFonts w:ascii="Times New Roman" w:hAnsi="Times New Roman" w:cs="Times New Roman"/>
          <w:sz w:val="24"/>
          <w:szCs w:val="24"/>
        </w:rPr>
        <w:t xml:space="preserve"> which shows the evolution of PAs establishment in DRC, the early stages (1872-1925) of the NPs movement in DRC was more characterised by the establishment of the first NPs and Hunting reserves which recorded their peak numbers in the 1950’s. More interestingly, those two types of PAs are still recording the establishment of new units in the recent years. The period (1975-2000) saw the apparition of new types of PAs Biosphere reserves, Wildlife reserve, Community reserve, and Scientific reserve. During the most recent past, Community Reserves and Nature reserves became two types of PAs that have recorded the highest growth in terms of established units </w:t>
      </w:r>
      <w:r w:rsidRPr="0084739D">
        <w:rPr>
          <w:rFonts w:ascii="Times New Roman" w:hAnsi="Times New Roman" w:cs="Times New Roman"/>
          <w:sz w:val="24"/>
          <w:szCs w:val="24"/>
        </w:rPr>
        <w:t>in the DRC.</w:t>
      </w:r>
    </w:p>
    <w:p w:rsidR="00C54CB2" w:rsidRDefault="00C54CB2" w:rsidP="00D0319C">
      <w:pPr>
        <w:spacing w:line="240" w:lineRule="auto"/>
        <w:rPr>
          <w:rFonts w:ascii="Times New Roman" w:hAnsi="Times New Roman" w:cs="Times New Roman"/>
          <w:sz w:val="24"/>
          <w:szCs w:val="24"/>
        </w:rPr>
      </w:pPr>
      <w:r w:rsidRPr="00C54CB2">
        <w:rPr>
          <w:rFonts w:ascii="Times New Roman" w:hAnsi="Times New Roman" w:cs="Times New Roman"/>
          <w:sz w:val="24"/>
          <w:szCs w:val="24"/>
        </w:rPr>
        <w:lastRenderedPageBreak/>
        <w:t xml:space="preserve">Two categories of PAs exist in Rwanda: (1). National Park, and (2). Protected Wetland. Table </w:t>
      </w:r>
      <w:r w:rsidR="004129E8">
        <w:rPr>
          <w:rFonts w:ascii="Times New Roman" w:hAnsi="Times New Roman" w:cs="Times New Roman"/>
          <w:sz w:val="24"/>
          <w:szCs w:val="24"/>
        </w:rPr>
        <w:t>3.5</w:t>
      </w:r>
      <w:r w:rsidRPr="00C54CB2">
        <w:rPr>
          <w:rFonts w:ascii="Times New Roman" w:hAnsi="Times New Roman" w:cs="Times New Roman"/>
          <w:sz w:val="24"/>
          <w:szCs w:val="24"/>
        </w:rPr>
        <w:t xml:space="preserve"> and Figure </w:t>
      </w:r>
      <w:r w:rsidR="004129E8">
        <w:rPr>
          <w:rFonts w:ascii="Times New Roman" w:hAnsi="Times New Roman" w:cs="Times New Roman"/>
          <w:sz w:val="24"/>
          <w:szCs w:val="24"/>
        </w:rPr>
        <w:t>3.4</w:t>
      </w:r>
      <w:r w:rsidRPr="00C54CB2">
        <w:rPr>
          <w:rFonts w:ascii="Times New Roman" w:hAnsi="Times New Roman" w:cs="Times New Roman"/>
          <w:sz w:val="24"/>
          <w:szCs w:val="24"/>
        </w:rPr>
        <w:t xml:space="preserve"> show the number of units for each category of PAs in Rwanda, the average covered area for each type, and the standard deviation. As pointed out on the Figure </w:t>
      </w:r>
      <w:r w:rsidR="009D3F68">
        <w:rPr>
          <w:rFonts w:ascii="Times New Roman" w:hAnsi="Times New Roman" w:cs="Times New Roman"/>
          <w:sz w:val="24"/>
          <w:szCs w:val="24"/>
        </w:rPr>
        <w:t>3.</w:t>
      </w:r>
      <w:r w:rsidRPr="00C54CB2">
        <w:rPr>
          <w:rFonts w:ascii="Times New Roman" w:hAnsi="Times New Roman" w:cs="Times New Roman"/>
          <w:sz w:val="24"/>
          <w:szCs w:val="24"/>
        </w:rPr>
        <w:t>6 which shows the evolution of PAs establishment in Rwanda, the country has been establishing NPs since the early stage of NPs movement in Rwanda, and is still establishing new units during the most recent past. The Protected Wetland is the emerging type of PAs.</w:t>
      </w:r>
    </w:p>
    <w:p w:rsidR="00C54CB2" w:rsidRPr="003E499A" w:rsidRDefault="00C54CB2" w:rsidP="00C54CB2">
      <w:pPr>
        <w:spacing w:line="240" w:lineRule="auto"/>
        <w:rPr>
          <w:rFonts w:ascii="Times New Roman" w:hAnsi="Times New Roman" w:cs="Times New Roman"/>
          <w:sz w:val="24"/>
          <w:szCs w:val="24"/>
        </w:rPr>
      </w:pPr>
      <w:r w:rsidRPr="003E499A">
        <w:rPr>
          <w:rFonts w:ascii="Times New Roman" w:hAnsi="Times New Roman" w:cs="Times New Roman"/>
          <w:sz w:val="24"/>
          <w:szCs w:val="24"/>
        </w:rPr>
        <w:t xml:space="preserve">Four categories of PAs exist in Uganda: (1) National Parks, (2). Wildlife Reserves, (3). </w:t>
      </w:r>
      <w:r w:rsidRPr="0084739D">
        <w:rPr>
          <w:rFonts w:ascii="Times New Roman" w:hAnsi="Times New Roman" w:cs="Times New Roman"/>
          <w:sz w:val="24"/>
          <w:szCs w:val="24"/>
        </w:rPr>
        <w:t>Wildlife Sanctuaries, and (4). Community Wildlife Areas. T</w:t>
      </w:r>
      <w:r w:rsidRPr="003E499A">
        <w:rPr>
          <w:rFonts w:ascii="Times New Roman" w:hAnsi="Times New Roman" w:cs="Times New Roman"/>
          <w:sz w:val="24"/>
          <w:szCs w:val="24"/>
        </w:rPr>
        <w:t xml:space="preserve">able </w:t>
      </w:r>
      <w:r w:rsidR="004129E8">
        <w:rPr>
          <w:rFonts w:ascii="Times New Roman" w:hAnsi="Times New Roman" w:cs="Times New Roman"/>
          <w:sz w:val="24"/>
          <w:szCs w:val="24"/>
        </w:rPr>
        <w:t>3.5</w:t>
      </w:r>
      <w:r w:rsidRPr="003E499A">
        <w:rPr>
          <w:rFonts w:ascii="Times New Roman" w:hAnsi="Times New Roman" w:cs="Times New Roman"/>
          <w:sz w:val="24"/>
          <w:szCs w:val="24"/>
        </w:rPr>
        <w:t xml:space="preserve"> and Figure </w:t>
      </w:r>
      <w:r w:rsidR="004129E8">
        <w:rPr>
          <w:rFonts w:ascii="Times New Roman" w:hAnsi="Times New Roman" w:cs="Times New Roman"/>
          <w:sz w:val="24"/>
          <w:szCs w:val="24"/>
        </w:rPr>
        <w:t>3.4</w:t>
      </w:r>
      <w:r w:rsidRPr="003E499A">
        <w:rPr>
          <w:rFonts w:ascii="Times New Roman" w:hAnsi="Times New Roman" w:cs="Times New Roman"/>
          <w:sz w:val="24"/>
          <w:szCs w:val="24"/>
        </w:rPr>
        <w:t xml:space="preserve"> show the number of units for each category of PAs in Uganda, the average covered area for each type, and the standard deviation. As shown on Figure </w:t>
      </w:r>
      <w:r w:rsidR="009D3F68">
        <w:rPr>
          <w:rFonts w:ascii="Times New Roman" w:hAnsi="Times New Roman" w:cs="Times New Roman"/>
          <w:sz w:val="24"/>
          <w:szCs w:val="24"/>
        </w:rPr>
        <w:t>3.7</w:t>
      </w:r>
      <w:r w:rsidRPr="003E499A">
        <w:rPr>
          <w:rFonts w:ascii="Times New Roman" w:hAnsi="Times New Roman" w:cs="Times New Roman"/>
          <w:sz w:val="24"/>
          <w:szCs w:val="24"/>
        </w:rPr>
        <w:t xml:space="preserve"> which shows the evolution of PAs establishment in Uganda, the period 1950-1975 became the most prosperous as far as the establishment of National Park, Wildlife Reserve, and Wildlife Sanctuary is concerned. The Community Wildlife Management Area is the emerging type of PAs in Uganda.</w:t>
      </w:r>
    </w:p>
    <w:p w:rsidR="00C54CB2" w:rsidRPr="0084739D" w:rsidRDefault="00C54CB2" w:rsidP="00D0319C">
      <w:pPr>
        <w:spacing w:line="240" w:lineRule="auto"/>
        <w:rPr>
          <w:rFonts w:ascii="Times New Roman" w:hAnsi="Times New Roman" w:cs="Times New Roman"/>
          <w:sz w:val="24"/>
          <w:szCs w:val="24"/>
        </w:rPr>
      </w:pPr>
    </w:p>
    <w:p w:rsidR="008F575F" w:rsidRDefault="00F17E02" w:rsidP="008F575F">
      <w:pPr>
        <w:pStyle w:val="Caption"/>
        <w:keepNext/>
        <w:jc w:val="left"/>
      </w:pPr>
      <w:r w:rsidRPr="0084739D">
        <w:t xml:space="preserve">Table </w:t>
      </w:r>
      <w:fldSimple w:instr=" STYLEREF 1 \s ">
        <w:r w:rsidR="008F575F">
          <w:rPr>
            <w:noProof/>
          </w:rPr>
          <w:t>3</w:t>
        </w:r>
      </w:fldSimple>
      <w:r w:rsidR="008F575F">
        <w:t>.</w:t>
      </w:r>
      <w:fldSimple w:instr=" SEQ Table \* ARABIC \s 1 ">
        <w:r w:rsidR="008F575F">
          <w:rPr>
            <w:noProof/>
          </w:rPr>
          <w:t>5</w:t>
        </w:r>
      </w:fldSimple>
      <w:r w:rsidRPr="0084739D">
        <w:t>.</w:t>
      </w:r>
      <w:r w:rsidRPr="003E499A">
        <w:t xml:space="preserve"> Types of PAs in DRC</w:t>
      </w:r>
      <w:r w:rsidR="00C54CB2">
        <w:t>, Rwanda and Uganda</w:t>
      </w:r>
      <w:r w:rsidRPr="003E499A">
        <w:t xml:space="preserve"> and their characteristics</w:t>
      </w:r>
    </w:p>
    <w:tbl>
      <w:tblPr>
        <w:tblW w:w="5000" w:type="pct"/>
        <w:tblLook w:val="04A0" w:firstRow="1" w:lastRow="0" w:firstColumn="1" w:lastColumn="0" w:noHBand="0" w:noVBand="1"/>
      </w:tblPr>
      <w:tblGrid>
        <w:gridCol w:w="958"/>
        <w:gridCol w:w="3062"/>
        <w:gridCol w:w="1390"/>
        <w:gridCol w:w="1347"/>
        <w:gridCol w:w="1161"/>
        <w:gridCol w:w="1108"/>
      </w:tblGrid>
      <w:tr w:rsidR="0020352E" w:rsidRPr="0020352E" w:rsidTr="005C071F">
        <w:trPr>
          <w:trHeight w:val="300"/>
        </w:trPr>
        <w:tc>
          <w:tcPr>
            <w:tcW w:w="531" w:type="pct"/>
            <w:tcBorders>
              <w:top w:val="single" w:sz="12" w:space="0" w:color="auto"/>
              <w:bottom w:val="single" w:sz="12" w:space="0" w:color="auto"/>
            </w:tcBorders>
            <w:shd w:val="clear" w:color="auto" w:fill="auto"/>
            <w:vAlign w:val="center"/>
            <w:hideMark/>
          </w:tcPr>
          <w:p w:rsidR="0020352E" w:rsidRPr="0020352E" w:rsidRDefault="005C071F" w:rsidP="0020352E">
            <w:pPr>
              <w:spacing w:after="0" w:line="240" w:lineRule="auto"/>
              <w:rPr>
                <w:rFonts w:ascii="Times New Roman" w:eastAsia="Times New Roman" w:hAnsi="Times New Roman" w:cs="Times New Roman"/>
                <w:b/>
                <w:bCs/>
                <w:color w:val="000000"/>
                <w:kern w:val="0"/>
                <w:sz w:val="16"/>
                <w:szCs w:val="16"/>
                <w14:ligatures w14:val="none"/>
              </w:rPr>
            </w:pPr>
            <w:r w:rsidRPr="005C071F">
              <w:rPr>
                <w:rFonts w:ascii="Times New Roman" w:eastAsia="Times New Roman" w:hAnsi="Times New Roman" w:cs="Times New Roman"/>
                <w:b/>
                <w:bCs/>
                <w:color w:val="000000"/>
                <w:kern w:val="0"/>
                <w:sz w:val="16"/>
                <w:szCs w:val="16"/>
                <w14:ligatures w14:val="none"/>
              </w:rPr>
              <w:t>Country</w:t>
            </w:r>
          </w:p>
        </w:tc>
        <w:tc>
          <w:tcPr>
            <w:tcW w:w="1696" w:type="pct"/>
            <w:tcBorders>
              <w:top w:val="single" w:sz="12" w:space="0" w:color="auto"/>
              <w:bottom w:val="single" w:sz="12" w:space="0" w:color="auto"/>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b/>
                <w:bCs/>
                <w:color w:val="000000"/>
                <w:kern w:val="0"/>
                <w:sz w:val="16"/>
                <w:szCs w:val="16"/>
                <w14:ligatures w14:val="none"/>
              </w:rPr>
            </w:pPr>
            <w:r w:rsidRPr="0020352E">
              <w:rPr>
                <w:rFonts w:ascii="Times New Roman" w:eastAsia="Times New Roman" w:hAnsi="Times New Roman" w:cs="Times New Roman"/>
                <w:b/>
                <w:bCs/>
                <w:color w:val="000000"/>
                <w:kern w:val="0"/>
                <w:sz w:val="16"/>
                <w:szCs w:val="16"/>
                <w14:ligatures w14:val="none"/>
              </w:rPr>
              <w:t>Type of PA</w:t>
            </w:r>
          </w:p>
        </w:tc>
        <w:tc>
          <w:tcPr>
            <w:tcW w:w="770" w:type="pct"/>
            <w:tcBorders>
              <w:top w:val="single" w:sz="12" w:space="0" w:color="auto"/>
              <w:bottom w:val="single" w:sz="12" w:space="0" w:color="auto"/>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b/>
                <w:bCs/>
                <w:color w:val="000000"/>
                <w:kern w:val="0"/>
                <w:sz w:val="16"/>
                <w:szCs w:val="16"/>
                <w14:ligatures w14:val="none"/>
              </w:rPr>
            </w:pPr>
            <w:r w:rsidRPr="0020352E">
              <w:rPr>
                <w:rFonts w:ascii="Times New Roman" w:eastAsia="Times New Roman" w:hAnsi="Times New Roman" w:cs="Times New Roman"/>
                <w:b/>
                <w:bCs/>
                <w:color w:val="000000"/>
                <w:kern w:val="0"/>
                <w:sz w:val="16"/>
                <w:szCs w:val="16"/>
                <w14:ligatures w14:val="none"/>
              </w:rPr>
              <w:t>Number</w:t>
            </w:r>
          </w:p>
        </w:tc>
        <w:tc>
          <w:tcPr>
            <w:tcW w:w="746" w:type="pct"/>
            <w:tcBorders>
              <w:top w:val="single" w:sz="12" w:space="0" w:color="auto"/>
              <w:bottom w:val="single" w:sz="12" w:space="0" w:color="auto"/>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b/>
                <w:bCs/>
                <w:color w:val="000000"/>
                <w:kern w:val="0"/>
                <w:sz w:val="16"/>
                <w:szCs w:val="16"/>
                <w14:ligatures w14:val="none"/>
              </w:rPr>
            </w:pPr>
            <w:r w:rsidRPr="0020352E">
              <w:rPr>
                <w:rFonts w:ascii="Times New Roman" w:eastAsia="Times New Roman" w:hAnsi="Times New Roman" w:cs="Times New Roman"/>
                <w:b/>
                <w:bCs/>
                <w:color w:val="000000"/>
                <w:kern w:val="0"/>
                <w:sz w:val="16"/>
                <w:szCs w:val="16"/>
                <w14:ligatures w14:val="none"/>
              </w:rPr>
              <w:t>Area (Square km)</w:t>
            </w:r>
          </w:p>
        </w:tc>
        <w:tc>
          <w:tcPr>
            <w:tcW w:w="643" w:type="pct"/>
            <w:tcBorders>
              <w:top w:val="single" w:sz="12" w:space="0" w:color="auto"/>
              <w:bottom w:val="single" w:sz="12" w:space="0" w:color="auto"/>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b/>
                <w:bCs/>
                <w:color w:val="000000"/>
                <w:kern w:val="0"/>
                <w:sz w:val="16"/>
                <w:szCs w:val="16"/>
                <w14:ligatures w14:val="none"/>
              </w:rPr>
            </w:pPr>
            <w:r w:rsidRPr="0020352E">
              <w:rPr>
                <w:rFonts w:ascii="Times New Roman" w:eastAsia="Times New Roman" w:hAnsi="Times New Roman" w:cs="Times New Roman"/>
                <w:b/>
                <w:bCs/>
                <w:color w:val="000000"/>
                <w:kern w:val="0"/>
                <w:sz w:val="16"/>
                <w:szCs w:val="16"/>
                <w14:ligatures w14:val="none"/>
              </w:rPr>
              <w:t>Average</w:t>
            </w:r>
          </w:p>
        </w:tc>
        <w:tc>
          <w:tcPr>
            <w:tcW w:w="614" w:type="pct"/>
            <w:tcBorders>
              <w:top w:val="single" w:sz="12" w:space="0" w:color="auto"/>
              <w:bottom w:val="single" w:sz="12" w:space="0" w:color="auto"/>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b/>
                <w:bCs/>
                <w:color w:val="000000"/>
                <w:kern w:val="0"/>
                <w:sz w:val="16"/>
                <w:szCs w:val="16"/>
                <w14:ligatures w14:val="none"/>
              </w:rPr>
            </w:pPr>
            <w:r w:rsidRPr="0020352E">
              <w:rPr>
                <w:rFonts w:ascii="Times New Roman" w:eastAsia="Times New Roman" w:hAnsi="Times New Roman" w:cs="Times New Roman"/>
                <w:b/>
                <w:bCs/>
                <w:color w:val="000000"/>
                <w:kern w:val="0"/>
                <w:sz w:val="16"/>
                <w:szCs w:val="16"/>
                <w14:ligatures w14:val="none"/>
              </w:rPr>
              <w:t>Standard deviation</w:t>
            </w:r>
          </w:p>
        </w:tc>
      </w:tr>
      <w:tr w:rsidR="0020352E" w:rsidRPr="0020352E" w:rsidTr="0020352E">
        <w:trPr>
          <w:trHeight w:val="300"/>
        </w:trPr>
        <w:tc>
          <w:tcPr>
            <w:tcW w:w="531" w:type="pct"/>
            <w:vMerge w:val="restart"/>
            <w:tcBorders>
              <w:top w:val="single" w:sz="12" w:space="0" w:color="auto"/>
            </w:tcBorders>
            <w:shd w:val="clear" w:color="auto" w:fill="auto"/>
            <w:vAlign w:val="center"/>
            <w:hideMark/>
          </w:tcPr>
          <w:p w:rsidR="0020352E" w:rsidRPr="0020352E" w:rsidRDefault="0020352E" w:rsidP="0020352E">
            <w:pPr>
              <w:spacing w:after="0" w:line="240" w:lineRule="auto"/>
              <w:jc w:val="center"/>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DRC</w:t>
            </w:r>
          </w:p>
        </w:tc>
        <w:tc>
          <w:tcPr>
            <w:tcW w:w="1696" w:type="pct"/>
            <w:tcBorders>
              <w:top w:val="single" w:sz="12" w:space="0" w:color="auto"/>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National Park</w:t>
            </w:r>
          </w:p>
        </w:tc>
        <w:tc>
          <w:tcPr>
            <w:tcW w:w="770" w:type="pct"/>
            <w:tcBorders>
              <w:top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9</w:t>
            </w:r>
          </w:p>
        </w:tc>
        <w:tc>
          <w:tcPr>
            <w:tcW w:w="746" w:type="pct"/>
            <w:tcBorders>
              <w:top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81702.00</w:t>
            </w:r>
          </w:p>
        </w:tc>
        <w:tc>
          <w:tcPr>
            <w:tcW w:w="643" w:type="pct"/>
            <w:tcBorders>
              <w:top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9078.00</w:t>
            </w:r>
          </w:p>
        </w:tc>
        <w:tc>
          <w:tcPr>
            <w:tcW w:w="614" w:type="pct"/>
            <w:tcBorders>
              <w:top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4893.56</w:t>
            </w:r>
          </w:p>
        </w:tc>
      </w:tr>
      <w:tr w:rsidR="0020352E" w:rsidRPr="0020352E" w:rsidTr="0020352E">
        <w:trPr>
          <w:trHeight w:val="300"/>
        </w:trPr>
        <w:tc>
          <w:tcPr>
            <w:tcW w:w="531" w:type="pct"/>
            <w:vMerge/>
            <w:tcBorders>
              <w:top w:val="nil"/>
            </w:tcBorders>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p>
        </w:tc>
        <w:tc>
          <w:tcPr>
            <w:tcW w:w="1696" w:type="pct"/>
            <w:tcBorders>
              <w:top w:val="nil"/>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Biosphere Reserve</w:t>
            </w:r>
          </w:p>
        </w:tc>
        <w:tc>
          <w:tcPr>
            <w:tcW w:w="770"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3</w:t>
            </w:r>
          </w:p>
        </w:tc>
        <w:tc>
          <w:tcPr>
            <w:tcW w:w="746"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3213.00</w:t>
            </w:r>
          </w:p>
        </w:tc>
        <w:tc>
          <w:tcPr>
            <w:tcW w:w="643"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1071.00</w:t>
            </w:r>
          </w:p>
        </w:tc>
        <w:tc>
          <w:tcPr>
            <w:tcW w:w="614"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1008.41</w:t>
            </w:r>
          </w:p>
        </w:tc>
      </w:tr>
      <w:tr w:rsidR="0020352E" w:rsidRPr="0020352E" w:rsidTr="0020352E">
        <w:trPr>
          <w:trHeight w:val="300"/>
        </w:trPr>
        <w:tc>
          <w:tcPr>
            <w:tcW w:w="531" w:type="pct"/>
            <w:vMerge/>
            <w:tcBorders>
              <w:top w:val="nil"/>
            </w:tcBorders>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p>
        </w:tc>
        <w:tc>
          <w:tcPr>
            <w:tcW w:w="1696" w:type="pct"/>
            <w:tcBorders>
              <w:top w:val="nil"/>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Wildlife Reserve</w:t>
            </w:r>
          </w:p>
        </w:tc>
        <w:tc>
          <w:tcPr>
            <w:tcW w:w="770"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2</w:t>
            </w:r>
          </w:p>
        </w:tc>
        <w:tc>
          <w:tcPr>
            <w:tcW w:w="746"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20389.00</w:t>
            </w:r>
          </w:p>
        </w:tc>
        <w:tc>
          <w:tcPr>
            <w:tcW w:w="643"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10194.50</w:t>
            </w:r>
          </w:p>
        </w:tc>
        <w:tc>
          <w:tcPr>
            <w:tcW w:w="614"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5165.42</w:t>
            </w:r>
          </w:p>
        </w:tc>
      </w:tr>
      <w:tr w:rsidR="0020352E" w:rsidRPr="0020352E" w:rsidTr="0020352E">
        <w:trPr>
          <w:trHeight w:val="300"/>
        </w:trPr>
        <w:tc>
          <w:tcPr>
            <w:tcW w:w="531" w:type="pct"/>
            <w:vMerge/>
            <w:tcBorders>
              <w:top w:val="nil"/>
            </w:tcBorders>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p>
        </w:tc>
        <w:tc>
          <w:tcPr>
            <w:tcW w:w="1696" w:type="pct"/>
            <w:tcBorders>
              <w:top w:val="nil"/>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Nature Reserve</w:t>
            </w:r>
          </w:p>
        </w:tc>
        <w:tc>
          <w:tcPr>
            <w:tcW w:w="770"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12</w:t>
            </w:r>
          </w:p>
        </w:tc>
        <w:tc>
          <w:tcPr>
            <w:tcW w:w="746"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64059.00</w:t>
            </w:r>
          </w:p>
        </w:tc>
        <w:tc>
          <w:tcPr>
            <w:tcW w:w="643"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5338.25</w:t>
            </w:r>
          </w:p>
        </w:tc>
        <w:tc>
          <w:tcPr>
            <w:tcW w:w="614"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8345.75</w:t>
            </w:r>
          </w:p>
        </w:tc>
      </w:tr>
      <w:tr w:rsidR="0020352E" w:rsidRPr="0020352E" w:rsidTr="0020352E">
        <w:trPr>
          <w:trHeight w:val="300"/>
        </w:trPr>
        <w:tc>
          <w:tcPr>
            <w:tcW w:w="531" w:type="pct"/>
            <w:vMerge/>
            <w:tcBorders>
              <w:top w:val="nil"/>
            </w:tcBorders>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p>
        </w:tc>
        <w:tc>
          <w:tcPr>
            <w:tcW w:w="1696" w:type="pct"/>
            <w:tcBorders>
              <w:top w:val="nil"/>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Scientific Reserve</w:t>
            </w:r>
          </w:p>
        </w:tc>
        <w:tc>
          <w:tcPr>
            <w:tcW w:w="770"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1</w:t>
            </w:r>
          </w:p>
        </w:tc>
        <w:tc>
          <w:tcPr>
            <w:tcW w:w="746"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480.00</w:t>
            </w:r>
          </w:p>
        </w:tc>
        <w:tc>
          <w:tcPr>
            <w:tcW w:w="643"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480.00</w:t>
            </w:r>
          </w:p>
        </w:tc>
        <w:tc>
          <w:tcPr>
            <w:tcW w:w="614" w:type="pct"/>
            <w:tcBorders>
              <w:top w:val="nil"/>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 </w:t>
            </w:r>
          </w:p>
        </w:tc>
      </w:tr>
      <w:tr w:rsidR="0020352E" w:rsidRPr="0020352E" w:rsidTr="0020352E">
        <w:trPr>
          <w:trHeight w:val="300"/>
        </w:trPr>
        <w:tc>
          <w:tcPr>
            <w:tcW w:w="531" w:type="pct"/>
            <w:vMerge/>
            <w:tcBorders>
              <w:top w:val="nil"/>
            </w:tcBorders>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p>
        </w:tc>
        <w:tc>
          <w:tcPr>
            <w:tcW w:w="1696" w:type="pct"/>
            <w:tcBorders>
              <w:top w:val="nil"/>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Community Reserve</w:t>
            </w:r>
          </w:p>
        </w:tc>
        <w:tc>
          <w:tcPr>
            <w:tcW w:w="770"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1</w:t>
            </w:r>
          </w:p>
        </w:tc>
        <w:tc>
          <w:tcPr>
            <w:tcW w:w="746"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1030.00</w:t>
            </w:r>
          </w:p>
        </w:tc>
        <w:tc>
          <w:tcPr>
            <w:tcW w:w="643"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1030.00</w:t>
            </w:r>
          </w:p>
        </w:tc>
        <w:tc>
          <w:tcPr>
            <w:tcW w:w="614" w:type="pct"/>
            <w:tcBorders>
              <w:top w:val="nil"/>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 </w:t>
            </w:r>
          </w:p>
        </w:tc>
      </w:tr>
      <w:tr w:rsidR="0020352E" w:rsidRPr="0020352E" w:rsidTr="0020352E">
        <w:trPr>
          <w:trHeight w:val="300"/>
        </w:trPr>
        <w:tc>
          <w:tcPr>
            <w:tcW w:w="531" w:type="pct"/>
            <w:vMerge/>
            <w:tcBorders>
              <w:top w:val="nil"/>
            </w:tcBorders>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p>
        </w:tc>
        <w:tc>
          <w:tcPr>
            <w:tcW w:w="1696" w:type="pct"/>
            <w:tcBorders>
              <w:top w:val="nil"/>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Hunting Reserve</w:t>
            </w:r>
          </w:p>
        </w:tc>
        <w:tc>
          <w:tcPr>
            <w:tcW w:w="770"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12</w:t>
            </w:r>
          </w:p>
        </w:tc>
        <w:tc>
          <w:tcPr>
            <w:tcW w:w="746"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72292.00</w:t>
            </w:r>
          </w:p>
        </w:tc>
        <w:tc>
          <w:tcPr>
            <w:tcW w:w="643"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6024.33</w:t>
            </w:r>
          </w:p>
        </w:tc>
        <w:tc>
          <w:tcPr>
            <w:tcW w:w="614" w:type="pct"/>
            <w:tcBorders>
              <w:top w:val="nil"/>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8785.69</w:t>
            </w:r>
          </w:p>
        </w:tc>
      </w:tr>
      <w:tr w:rsidR="0020352E" w:rsidRPr="0020352E" w:rsidTr="005C071F">
        <w:trPr>
          <w:trHeight w:val="300"/>
        </w:trPr>
        <w:tc>
          <w:tcPr>
            <w:tcW w:w="531" w:type="pct"/>
            <w:tcBorders>
              <w:top w:val="nil"/>
              <w:bottom w:val="single" w:sz="12" w:space="0" w:color="auto"/>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 </w:t>
            </w:r>
          </w:p>
        </w:tc>
        <w:tc>
          <w:tcPr>
            <w:tcW w:w="1696" w:type="pct"/>
            <w:tcBorders>
              <w:top w:val="nil"/>
              <w:bottom w:val="single" w:sz="12" w:space="0" w:color="auto"/>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 </w:t>
            </w:r>
          </w:p>
        </w:tc>
        <w:tc>
          <w:tcPr>
            <w:tcW w:w="770" w:type="pct"/>
            <w:tcBorders>
              <w:top w:val="nil"/>
              <w:bottom w:val="single" w:sz="12" w:space="0" w:color="auto"/>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 </w:t>
            </w:r>
          </w:p>
        </w:tc>
        <w:tc>
          <w:tcPr>
            <w:tcW w:w="746" w:type="pct"/>
            <w:tcBorders>
              <w:top w:val="nil"/>
              <w:bottom w:val="single" w:sz="12" w:space="0" w:color="auto"/>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 </w:t>
            </w:r>
          </w:p>
        </w:tc>
        <w:tc>
          <w:tcPr>
            <w:tcW w:w="643" w:type="pct"/>
            <w:tcBorders>
              <w:top w:val="nil"/>
              <w:bottom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 </w:t>
            </w:r>
          </w:p>
        </w:tc>
        <w:tc>
          <w:tcPr>
            <w:tcW w:w="614" w:type="pct"/>
            <w:tcBorders>
              <w:top w:val="nil"/>
              <w:bottom w:val="single" w:sz="12" w:space="0" w:color="auto"/>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 </w:t>
            </w:r>
          </w:p>
        </w:tc>
      </w:tr>
      <w:tr w:rsidR="0020352E" w:rsidRPr="0020352E" w:rsidTr="005C071F">
        <w:trPr>
          <w:trHeight w:val="300"/>
        </w:trPr>
        <w:tc>
          <w:tcPr>
            <w:tcW w:w="531" w:type="pct"/>
            <w:vMerge w:val="restart"/>
            <w:tcBorders>
              <w:top w:val="single" w:sz="12" w:space="0" w:color="auto"/>
            </w:tcBorders>
            <w:shd w:val="clear" w:color="auto" w:fill="auto"/>
            <w:vAlign w:val="center"/>
            <w:hideMark/>
          </w:tcPr>
          <w:p w:rsidR="0020352E" w:rsidRPr="0020352E" w:rsidRDefault="0020352E" w:rsidP="0020352E">
            <w:pPr>
              <w:spacing w:after="0" w:line="240" w:lineRule="auto"/>
              <w:jc w:val="center"/>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Rwanda</w:t>
            </w:r>
          </w:p>
        </w:tc>
        <w:tc>
          <w:tcPr>
            <w:tcW w:w="1696" w:type="pct"/>
            <w:tcBorders>
              <w:top w:val="single" w:sz="12" w:space="0" w:color="auto"/>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National Park</w:t>
            </w:r>
          </w:p>
        </w:tc>
        <w:tc>
          <w:tcPr>
            <w:tcW w:w="770" w:type="pct"/>
            <w:tcBorders>
              <w:top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4</w:t>
            </w:r>
          </w:p>
        </w:tc>
        <w:tc>
          <w:tcPr>
            <w:tcW w:w="746" w:type="pct"/>
            <w:tcBorders>
              <w:top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2333.00</w:t>
            </w:r>
          </w:p>
        </w:tc>
        <w:tc>
          <w:tcPr>
            <w:tcW w:w="643" w:type="pct"/>
            <w:tcBorders>
              <w:top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583.25</w:t>
            </w:r>
          </w:p>
        </w:tc>
        <w:tc>
          <w:tcPr>
            <w:tcW w:w="614" w:type="pct"/>
            <w:tcBorders>
              <w:top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566.61</w:t>
            </w:r>
          </w:p>
        </w:tc>
      </w:tr>
      <w:tr w:rsidR="0020352E" w:rsidRPr="0020352E" w:rsidTr="005C071F">
        <w:trPr>
          <w:trHeight w:val="300"/>
        </w:trPr>
        <w:tc>
          <w:tcPr>
            <w:tcW w:w="531" w:type="pct"/>
            <w:vMerge/>
            <w:tcBorders>
              <w:bottom w:val="single" w:sz="12" w:space="0" w:color="auto"/>
            </w:tcBorders>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p>
        </w:tc>
        <w:tc>
          <w:tcPr>
            <w:tcW w:w="1696" w:type="pct"/>
            <w:tcBorders>
              <w:bottom w:val="single" w:sz="12" w:space="0" w:color="auto"/>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Protected Marshland</w:t>
            </w:r>
          </w:p>
        </w:tc>
        <w:tc>
          <w:tcPr>
            <w:tcW w:w="770" w:type="pct"/>
            <w:tcBorders>
              <w:bottom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1</w:t>
            </w:r>
          </w:p>
        </w:tc>
        <w:tc>
          <w:tcPr>
            <w:tcW w:w="746" w:type="pct"/>
            <w:tcBorders>
              <w:bottom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67.36</w:t>
            </w:r>
          </w:p>
        </w:tc>
        <w:tc>
          <w:tcPr>
            <w:tcW w:w="643" w:type="pct"/>
            <w:tcBorders>
              <w:bottom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67.36</w:t>
            </w:r>
          </w:p>
        </w:tc>
        <w:tc>
          <w:tcPr>
            <w:tcW w:w="614" w:type="pct"/>
            <w:tcBorders>
              <w:bottom w:val="single" w:sz="12" w:space="0" w:color="auto"/>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 </w:t>
            </w:r>
          </w:p>
        </w:tc>
      </w:tr>
      <w:tr w:rsidR="0020352E" w:rsidRPr="0020352E" w:rsidTr="005C071F">
        <w:trPr>
          <w:trHeight w:val="300"/>
        </w:trPr>
        <w:tc>
          <w:tcPr>
            <w:tcW w:w="531" w:type="pct"/>
            <w:vMerge w:val="restart"/>
            <w:tcBorders>
              <w:top w:val="single" w:sz="12" w:space="0" w:color="auto"/>
            </w:tcBorders>
            <w:shd w:val="clear" w:color="auto" w:fill="auto"/>
            <w:vAlign w:val="center"/>
            <w:hideMark/>
          </w:tcPr>
          <w:p w:rsidR="0020352E" w:rsidRPr="0020352E" w:rsidRDefault="0020352E" w:rsidP="0020352E">
            <w:pPr>
              <w:spacing w:after="0" w:line="240" w:lineRule="auto"/>
              <w:jc w:val="center"/>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Uganda</w:t>
            </w:r>
          </w:p>
        </w:tc>
        <w:tc>
          <w:tcPr>
            <w:tcW w:w="1696" w:type="pct"/>
            <w:tcBorders>
              <w:top w:val="single" w:sz="12" w:space="0" w:color="auto"/>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National Park</w:t>
            </w:r>
          </w:p>
        </w:tc>
        <w:tc>
          <w:tcPr>
            <w:tcW w:w="770" w:type="pct"/>
            <w:tcBorders>
              <w:top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10</w:t>
            </w:r>
          </w:p>
        </w:tc>
        <w:tc>
          <w:tcPr>
            <w:tcW w:w="746" w:type="pct"/>
            <w:tcBorders>
              <w:top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11234.00</w:t>
            </w:r>
          </w:p>
        </w:tc>
        <w:tc>
          <w:tcPr>
            <w:tcW w:w="643" w:type="pct"/>
            <w:tcBorders>
              <w:top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1123.40</w:t>
            </w:r>
          </w:p>
        </w:tc>
        <w:tc>
          <w:tcPr>
            <w:tcW w:w="614" w:type="pct"/>
            <w:tcBorders>
              <w:top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1145.86</w:t>
            </w:r>
          </w:p>
        </w:tc>
      </w:tr>
      <w:tr w:rsidR="0020352E" w:rsidRPr="0020352E" w:rsidTr="005C071F">
        <w:trPr>
          <w:trHeight w:val="300"/>
        </w:trPr>
        <w:tc>
          <w:tcPr>
            <w:tcW w:w="531" w:type="pct"/>
            <w:vMerge/>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p>
        </w:tc>
        <w:tc>
          <w:tcPr>
            <w:tcW w:w="1696" w:type="pct"/>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Wildlife Reserve</w:t>
            </w:r>
          </w:p>
        </w:tc>
        <w:tc>
          <w:tcPr>
            <w:tcW w:w="770" w:type="pct"/>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12</w:t>
            </w:r>
          </w:p>
        </w:tc>
        <w:tc>
          <w:tcPr>
            <w:tcW w:w="746" w:type="pct"/>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8615.00</w:t>
            </w:r>
          </w:p>
        </w:tc>
        <w:tc>
          <w:tcPr>
            <w:tcW w:w="643" w:type="pct"/>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717.92</w:t>
            </w:r>
          </w:p>
        </w:tc>
        <w:tc>
          <w:tcPr>
            <w:tcW w:w="614" w:type="pct"/>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779.45</w:t>
            </w:r>
          </w:p>
        </w:tc>
      </w:tr>
      <w:tr w:rsidR="0020352E" w:rsidRPr="0020352E" w:rsidTr="005C071F">
        <w:trPr>
          <w:trHeight w:val="300"/>
        </w:trPr>
        <w:tc>
          <w:tcPr>
            <w:tcW w:w="531" w:type="pct"/>
            <w:vMerge/>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p>
        </w:tc>
        <w:tc>
          <w:tcPr>
            <w:tcW w:w="1696" w:type="pct"/>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Community Wildlife Management Area</w:t>
            </w:r>
          </w:p>
        </w:tc>
        <w:tc>
          <w:tcPr>
            <w:tcW w:w="770" w:type="pct"/>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5</w:t>
            </w:r>
          </w:p>
        </w:tc>
        <w:tc>
          <w:tcPr>
            <w:tcW w:w="746" w:type="pct"/>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4238.00</w:t>
            </w:r>
          </w:p>
        </w:tc>
        <w:tc>
          <w:tcPr>
            <w:tcW w:w="643" w:type="pct"/>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847.60</w:t>
            </w:r>
          </w:p>
        </w:tc>
        <w:tc>
          <w:tcPr>
            <w:tcW w:w="614" w:type="pct"/>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813.63</w:t>
            </w:r>
          </w:p>
        </w:tc>
      </w:tr>
      <w:tr w:rsidR="0020352E" w:rsidRPr="0020352E" w:rsidTr="005C071F">
        <w:trPr>
          <w:trHeight w:val="300"/>
        </w:trPr>
        <w:tc>
          <w:tcPr>
            <w:tcW w:w="531" w:type="pct"/>
            <w:vMerge/>
            <w:tcBorders>
              <w:bottom w:val="single" w:sz="12" w:space="0" w:color="auto"/>
            </w:tcBorders>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p>
        </w:tc>
        <w:tc>
          <w:tcPr>
            <w:tcW w:w="1696" w:type="pct"/>
            <w:tcBorders>
              <w:bottom w:val="single" w:sz="12" w:space="0" w:color="auto"/>
            </w:tcBorders>
            <w:shd w:val="clear" w:color="auto" w:fill="auto"/>
            <w:vAlign w:val="center"/>
            <w:hideMark/>
          </w:tcPr>
          <w:p w:rsidR="0020352E" w:rsidRPr="0020352E" w:rsidRDefault="0020352E" w:rsidP="0020352E">
            <w:pPr>
              <w:spacing w:after="0" w:line="240" w:lineRule="auto"/>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Wildlife Sanctuary</w:t>
            </w:r>
          </w:p>
        </w:tc>
        <w:tc>
          <w:tcPr>
            <w:tcW w:w="770" w:type="pct"/>
            <w:tcBorders>
              <w:bottom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9</w:t>
            </w:r>
          </w:p>
        </w:tc>
        <w:tc>
          <w:tcPr>
            <w:tcW w:w="746" w:type="pct"/>
            <w:tcBorders>
              <w:bottom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818.23</w:t>
            </w:r>
          </w:p>
        </w:tc>
        <w:tc>
          <w:tcPr>
            <w:tcW w:w="643" w:type="pct"/>
            <w:tcBorders>
              <w:bottom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90.91</w:t>
            </w:r>
          </w:p>
        </w:tc>
        <w:tc>
          <w:tcPr>
            <w:tcW w:w="614" w:type="pct"/>
            <w:tcBorders>
              <w:bottom w:val="single" w:sz="12" w:space="0" w:color="auto"/>
            </w:tcBorders>
            <w:shd w:val="clear" w:color="auto" w:fill="auto"/>
            <w:vAlign w:val="center"/>
            <w:hideMark/>
          </w:tcPr>
          <w:p w:rsidR="0020352E" w:rsidRPr="0020352E" w:rsidRDefault="0020352E" w:rsidP="0020352E">
            <w:pPr>
              <w:spacing w:after="0" w:line="240" w:lineRule="auto"/>
              <w:jc w:val="right"/>
              <w:rPr>
                <w:rFonts w:ascii="Times New Roman" w:eastAsia="Times New Roman" w:hAnsi="Times New Roman" w:cs="Times New Roman"/>
                <w:color w:val="000000"/>
                <w:kern w:val="0"/>
                <w:sz w:val="16"/>
                <w:szCs w:val="16"/>
                <w14:ligatures w14:val="none"/>
              </w:rPr>
            </w:pPr>
            <w:r w:rsidRPr="0020352E">
              <w:rPr>
                <w:rFonts w:ascii="Times New Roman" w:eastAsia="Times New Roman" w:hAnsi="Times New Roman" w:cs="Times New Roman"/>
                <w:color w:val="000000"/>
                <w:kern w:val="0"/>
                <w:sz w:val="16"/>
                <w:szCs w:val="16"/>
                <w14:ligatures w14:val="none"/>
              </w:rPr>
              <w:t>136.94</w:t>
            </w:r>
          </w:p>
        </w:tc>
      </w:tr>
    </w:tbl>
    <w:p w:rsidR="0020352E" w:rsidRPr="0020352E" w:rsidRDefault="0020352E" w:rsidP="0020352E"/>
    <w:p w:rsidR="00F17E02" w:rsidRPr="003E499A" w:rsidRDefault="000F635A" w:rsidP="00D0319C">
      <w:pPr>
        <w:keepNext/>
        <w:spacing w:line="240" w:lineRule="auto"/>
      </w:pPr>
      <w:r>
        <w:rPr>
          <w:noProof/>
        </w:rPr>
        <w:lastRenderedPageBreak/>
        <w:drawing>
          <wp:inline distT="0" distB="0" distL="0" distR="0" wp14:anchorId="73EB6F9B" wp14:editId="6ED3F508">
            <wp:extent cx="5731510" cy="3864334"/>
            <wp:effectExtent l="0" t="0" r="2540" b="3175"/>
            <wp:docPr id="134153822" name="Chart 1">
              <a:extLst xmlns:a="http://schemas.openxmlformats.org/drawingml/2006/main">
                <a:ext uri="{FF2B5EF4-FFF2-40B4-BE49-F238E27FC236}">
                  <a16:creationId xmlns:a16="http://schemas.microsoft.com/office/drawing/2014/main" id="{9DFA3DA9-CA38-0D69-F268-252A3D4A3C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F17E02" w:rsidRPr="003E499A" w:rsidRDefault="00F17E02" w:rsidP="00D0319C">
      <w:pPr>
        <w:pStyle w:val="Caption"/>
        <w:jc w:val="left"/>
      </w:pPr>
      <w:r w:rsidRPr="003E499A">
        <w:t xml:space="preserve">Figure </w:t>
      </w:r>
      <w:fldSimple w:instr=" STYLEREF 1 \s ">
        <w:r w:rsidR="008F575F">
          <w:rPr>
            <w:noProof/>
          </w:rPr>
          <w:t>3</w:t>
        </w:r>
      </w:fldSimple>
      <w:r w:rsidR="008F575F">
        <w:t>.</w:t>
      </w:r>
      <w:fldSimple w:instr=" SEQ Figure \* ARABIC \s 1 ">
        <w:r w:rsidR="008F575F">
          <w:rPr>
            <w:noProof/>
          </w:rPr>
          <w:t>4</w:t>
        </w:r>
      </w:fldSimple>
      <w:r w:rsidRPr="003E499A">
        <w:t>: Types of PAs in DRC and their average sizes</w:t>
      </w:r>
      <w:bookmarkStart w:id="50" w:name="_Hlk118613052"/>
    </w:p>
    <w:bookmarkEnd w:id="50"/>
    <w:p w:rsidR="00F17E02" w:rsidRPr="003E499A" w:rsidRDefault="00F17E02" w:rsidP="00D0319C">
      <w:pPr>
        <w:keepNext/>
        <w:spacing w:line="240" w:lineRule="auto"/>
      </w:pPr>
      <w:r w:rsidRPr="003E499A">
        <w:rPr>
          <w:noProof/>
        </w:rPr>
        <w:lastRenderedPageBreak/>
        <w:drawing>
          <wp:inline distT="0" distB="0" distL="0" distR="0" wp14:anchorId="406ACA1F" wp14:editId="5BD8CEF7">
            <wp:extent cx="5943600" cy="4698365"/>
            <wp:effectExtent l="0" t="0" r="0" b="6985"/>
            <wp:docPr id="7" name="Chart 7">
              <a:extLst xmlns:a="http://schemas.openxmlformats.org/drawingml/2006/main">
                <a:ext uri="{FF2B5EF4-FFF2-40B4-BE49-F238E27FC236}">
                  <a16:creationId xmlns:a16="http://schemas.microsoft.com/office/drawing/2014/main" id="{7696D2AE-204A-D074-740B-1FBE083974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F17E02" w:rsidRPr="003E499A" w:rsidRDefault="00F17E02" w:rsidP="00D0319C">
      <w:pPr>
        <w:pStyle w:val="Caption"/>
        <w:jc w:val="left"/>
      </w:pPr>
      <w:r w:rsidRPr="003E499A">
        <w:t xml:space="preserve">Figure </w:t>
      </w:r>
      <w:fldSimple w:instr=" STYLEREF 1 \s ">
        <w:r w:rsidR="008F575F">
          <w:rPr>
            <w:noProof/>
          </w:rPr>
          <w:t>3</w:t>
        </w:r>
      </w:fldSimple>
      <w:r w:rsidR="008F575F">
        <w:t>.</w:t>
      </w:r>
      <w:fldSimple w:instr=" SEQ Figure \* ARABIC \s 1 ">
        <w:r w:rsidR="008F575F">
          <w:rPr>
            <w:noProof/>
          </w:rPr>
          <w:t>5</w:t>
        </w:r>
      </w:fldSimple>
      <w:r w:rsidRPr="003E499A">
        <w:t>. Trends of establishment of PAs in the DRC</w:t>
      </w:r>
    </w:p>
    <w:p w:rsidR="00F17E02" w:rsidRPr="003E499A" w:rsidRDefault="00F17E02" w:rsidP="00D0319C">
      <w:pPr>
        <w:spacing w:line="240" w:lineRule="auto"/>
      </w:pPr>
    </w:p>
    <w:p w:rsidR="008F575F" w:rsidRDefault="00F17E02" w:rsidP="008F575F">
      <w:pPr>
        <w:keepNext/>
        <w:spacing w:line="240" w:lineRule="auto"/>
      </w:pPr>
      <w:r w:rsidRPr="003E499A">
        <w:rPr>
          <w:noProof/>
        </w:rPr>
        <w:lastRenderedPageBreak/>
        <w:drawing>
          <wp:inline distT="0" distB="0" distL="0" distR="0" wp14:anchorId="3390200A" wp14:editId="3B29F3A1">
            <wp:extent cx="5943600" cy="5206365"/>
            <wp:effectExtent l="0" t="0" r="0" b="13335"/>
            <wp:docPr id="8" name="Chart 8">
              <a:extLst xmlns:a="http://schemas.openxmlformats.org/drawingml/2006/main">
                <a:ext uri="{FF2B5EF4-FFF2-40B4-BE49-F238E27FC236}">
                  <a16:creationId xmlns:a16="http://schemas.microsoft.com/office/drawing/2014/main" id="{480C4C15-D31B-4ABA-BB18-1F58143431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F17E02" w:rsidRPr="003E499A" w:rsidRDefault="008F575F" w:rsidP="00D0319C">
      <w:pPr>
        <w:pStyle w:val="Caption"/>
        <w:jc w:val="left"/>
      </w:pPr>
      <w:r>
        <w:t xml:space="preserve">Figure </w:t>
      </w:r>
      <w:fldSimple w:instr=" STYLEREF 1 \s ">
        <w:r>
          <w:rPr>
            <w:noProof/>
          </w:rPr>
          <w:t>3</w:t>
        </w:r>
      </w:fldSimple>
      <w:r>
        <w:t>.</w:t>
      </w:r>
      <w:fldSimple w:instr=" SEQ Figure \* ARABIC \s 1 ">
        <w:r>
          <w:rPr>
            <w:noProof/>
          </w:rPr>
          <w:t>6</w:t>
        </w:r>
      </w:fldSimple>
      <w:r w:rsidR="00F17E02" w:rsidRPr="003E499A">
        <w:t>. Trends of establishment of PAs in Rwanda</w:t>
      </w:r>
    </w:p>
    <w:p w:rsidR="008F575F" w:rsidRDefault="00F17E02" w:rsidP="008F575F">
      <w:pPr>
        <w:keepNext/>
        <w:spacing w:line="240" w:lineRule="auto"/>
      </w:pPr>
      <w:r w:rsidRPr="003E499A">
        <w:rPr>
          <w:noProof/>
        </w:rPr>
        <w:lastRenderedPageBreak/>
        <w:drawing>
          <wp:inline distT="0" distB="0" distL="0" distR="0" wp14:anchorId="12603327" wp14:editId="0F970AB4">
            <wp:extent cx="5943600" cy="4684395"/>
            <wp:effectExtent l="0" t="0" r="0" b="1905"/>
            <wp:docPr id="11" name="Chart 11">
              <a:extLst xmlns:a="http://schemas.openxmlformats.org/drawingml/2006/main">
                <a:ext uri="{FF2B5EF4-FFF2-40B4-BE49-F238E27FC236}">
                  <a16:creationId xmlns:a16="http://schemas.microsoft.com/office/drawing/2014/main" id="{3ED29C58-AC07-C7E7-05E1-2D3FFAAF81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17E02" w:rsidRPr="003E499A" w:rsidRDefault="008F575F" w:rsidP="00D0319C">
      <w:pPr>
        <w:pStyle w:val="Caption"/>
        <w:jc w:val="left"/>
      </w:pPr>
      <w:r>
        <w:t xml:space="preserve">Figure </w:t>
      </w:r>
      <w:fldSimple w:instr=" STYLEREF 1 \s ">
        <w:r>
          <w:rPr>
            <w:noProof/>
          </w:rPr>
          <w:t>3</w:t>
        </w:r>
      </w:fldSimple>
      <w:r>
        <w:t>.</w:t>
      </w:r>
      <w:fldSimple w:instr=" SEQ Figure \* ARABIC \s 1 ">
        <w:r>
          <w:rPr>
            <w:noProof/>
          </w:rPr>
          <w:t>7</w:t>
        </w:r>
      </w:fldSimple>
      <w:r w:rsidR="00F17E02" w:rsidRPr="003E499A">
        <w:t>. Trends of establishment of PAs in Uganda</w:t>
      </w:r>
    </w:p>
    <w:p w:rsidR="00F17E02" w:rsidRPr="003E499A" w:rsidRDefault="00F17E02" w:rsidP="00F37338">
      <w:pPr>
        <w:pStyle w:val="Heading4"/>
      </w:pPr>
      <w:r w:rsidRPr="003E499A">
        <w:t>USA PAs network</w:t>
      </w:r>
    </w:p>
    <w:bookmarkEnd w:id="48"/>
    <w:p w:rsidR="00F17E02" w:rsidRPr="003E499A" w:rsidRDefault="00F17E02" w:rsidP="00D0319C">
      <w:pPr>
        <w:spacing w:line="240" w:lineRule="auto"/>
        <w:rPr>
          <w:rFonts w:ascii="Times New Roman" w:hAnsi="Times New Roman" w:cs="Times New Roman"/>
          <w:sz w:val="24"/>
          <w:szCs w:val="24"/>
        </w:rPr>
      </w:pPr>
      <w:r w:rsidRPr="003E499A">
        <w:rPr>
          <w:rFonts w:ascii="Times New Roman" w:hAnsi="Times New Roman" w:cs="Times New Roman"/>
          <w:sz w:val="24"/>
          <w:szCs w:val="24"/>
        </w:rPr>
        <w:t xml:space="preserve">Two types of PAs categories in the USA’s conservation system: (1). Conventional categories of PAs which comprise of 20 different categories, and (2). Related areas which comprise of 7 different categories. Table </w:t>
      </w:r>
      <w:r w:rsidR="004129E8">
        <w:rPr>
          <w:rFonts w:ascii="Times New Roman" w:hAnsi="Times New Roman" w:cs="Times New Roman"/>
          <w:sz w:val="24"/>
          <w:szCs w:val="24"/>
        </w:rPr>
        <w:t>3.6</w:t>
      </w:r>
      <w:r>
        <w:rPr>
          <w:rFonts w:ascii="Times New Roman" w:hAnsi="Times New Roman" w:cs="Times New Roman"/>
          <w:sz w:val="24"/>
          <w:szCs w:val="24"/>
        </w:rPr>
        <w:t xml:space="preserve"> and</w:t>
      </w:r>
      <w:r w:rsidRPr="003E499A">
        <w:rPr>
          <w:rFonts w:ascii="Times New Roman" w:hAnsi="Times New Roman" w:cs="Times New Roman"/>
          <w:sz w:val="24"/>
          <w:szCs w:val="24"/>
        </w:rPr>
        <w:t xml:space="preserve"> Figure </w:t>
      </w:r>
      <w:r w:rsidR="004129E8">
        <w:rPr>
          <w:rFonts w:ascii="Times New Roman" w:hAnsi="Times New Roman" w:cs="Times New Roman"/>
          <w:sz w:val="24"/>
          <w:szCs w:val="24"/>
        </w:rPr>
        <w:t>3.8</w:t>
      </w:r>
      <w:r>
        <w:rPr>
          <w:rFonts w:ascii="Times New Roman" w:hAnsi="Times New Roman" w:cs="Times New Roman"/>
          <w:sz w:val="24"/>
          <w:szCs w:val="24"/>
        </w:rPr>
        <w:t xml:space="preserve"> </w:t>
      </w:r>
      <w:r w:rsidRPr="003E499A">
        <w:rPr>
          <w:rFonts w:ascii="Times New Roman" w:hAnsi="Times New Roman" w:cs="Times New Roman"/>
          <w:sz w:val="24"/>
          <w:szCs w:val="24"/>
        </w:rPr>
        <w:t xml:space="preserve">show the number of units for each category of PAs in the USA, the average covered area for each type, and the standard deviation. As pointed out on the Figure </w:t>
      </w:r>
      <w:r w:rsidR="004129E8">
        <w:rPr>
          <w:rFonts w:ascii="Times New Roman" w:hAnsi="Times New Roman" w:cs="Times New Roman"/>
          <w:sz w:val="24"/>
          <w:szCs w:val="24"/>
        </w:rPr>
        <w:t xml:space="preserve">3.8-Figure </w:t>
      </w:r>
      <w:r w:rsidR="009D3F68">
        <w:rPr>
          <w:rFonts w:ascii="Times New Roman" w:hAnsi="Times New Roman" w:cs="Times New Roman"/>
          <w:sz w:val="24"/>
          <w:szCs w:val="24"/>
        </w:rPr>
        <w:t>3.11</w:t>
      </w:r>
      <w:r w:rsidRPr="003E499A">
        <w:rPr>
          <w:rFonts w:ascii="Times New Roman" w:hAnsi="Times New Roman" w:cs="Times New Roman"/>
          <w:sz w:val="24"/>
          <w:szCs w:val="24"/>
        </w:rPr>
        <w:t xml:space="preserve"> which show the evolution of PAs establishment in the USA, </w:t>
      </w:r>
      <w:r w:rsidRPr="003E499A">
        <w:rPr>
          <w:rFonts w:ascii="Times New Roman" w:hAnsi="Times New Roman" w:cs="Times New Roman"/>
          <w:color w:val="000000" w:themeColor="text1"/>
          <w:sz w:val="24"/>
          <w:szCs w:val="24"/>
        </w:rPr>
        <w:t>the early stages (1872-1925) of the NPs movement saw the unproportionate establishment of National Monuments, National Parks, National Military Parks, National Memorials, and National Historical Parks. The following 50 years (1925-1975) saw a boom in the number of established National Historic Sites, National Parks, National Monuments, National Historical Parks, and National Memorials. The current half-century (1976-2022) is a special period because it particularly shows the emergence of new types of PAs in the USA’s NP system and potentially the most likely to become the most prominent types of PAs in the future.</w:t>
      </w:r>
    </w:p>
    <w:p w:rsidR="008F575F" w:rsidRDefault="00F17E02" w:rsidP="008F575F">
      <w:pPr>
        <w:pStyle w:val="Caption"/>
        <w:keepNext/>
        <w:jc w:val="left"/>
      </w:pPr>
      <w:r w:rsidRPr="003E499A">
        <w:t xml:space="preserve">Table </w:t>
      </w:r>
      <w:fldSimple w:instr=" STYLEREF 1 \s ">
        <w:r w:rsidR="008F575F">
          <w:rPr>
            <w:noProof/>
          </w:rPr>
          <w:t>3</w:t>
        </w:r>
      </w:fldSimple>
      <w:r w:rsidR="008F575F">
        <w:t>.</w:t>
      </w:r>
      <w:fldSimple w:instr=" SEQ Table \* ARABIC \s 1 ">
        <w:r w:rsidR="008F575F">
          <w:rPr>
            <w:noProof/>
          </w:rPr>
          <w:t>6</w:t>
        </w:r>
      </w:fldSimple>
      <w:r w:rsidRPr="003E499A">
        <w:t>. Types of PAs in the USA and their characteristics</w:t>
      </w:r>
    </w:p>
    <w:tbl>
      <w:tblPr>
        <w:tblW w:w="5000" w:type="pct"/>
        <w:jc w:val="center"/>
        <w:tblLook w:val="04A0" w:firstRow="1" w:lastRow="0" w:firstColumn="1" w:lastColumn="0" w:noHBand="0" w:noVBand="1"/>
      </w:tblPr>
      <w:tblGrid>
        <w:gridCol w:w="3332"/>
        <w:gridCol w:w="266"/>
        <w:gridCol w:w="582"/>
        <w:gridCol w:w="290"/>
        <w:gridCol w:w="1223"/>
        <w:gridCol w:w="294"/>
        <w:gridCol w:w="1443"/>
        <w:gridCol w:w="294"/>
        <w:gridCol w:w="1302"/>
      </w:tblGrid>
      <w:tr w:rsidR="00F17E02" w:rsidRPr="003E499A" w:rsidTr="008F575F">
        <w:trPr>
          <w:trHeight w:val="273"/>
          <w:jc w:val="center"/>
        </w:trPr>
        <w:tc>
          <w:tcPr>
            <w:tcW w:w="1846" w:type="pct"/>
            <w:tcBorders>
              <w:top w:val="single" w:sz="4" w:space="0" w:color="auto"/>
              <w:left w:val="nil"/>
              <w:bottom w:val="single" w:sz="4" w:space="0" w:color="auto"/>
              <w:right w:val="nil"/>
            </w:tcBorders>
            <w:shd w:val="clear" w:color="auto" w:fill="auto"/>
            <w:noWrap/>
            <w:hideMark/>
          </w:tcPr>
          <w:p w:rsidR="00F17E02" w:rsidRPr="003E499A" w:rsidRDefault="00F17E02" w:rsidP="00D0319C">
            <w:pPr>
              <w:spacing w:after="0" w:line="240" w:lineRule="auto"/>
              <w:rPr>
                <w:rFonts w:ascii="Times New Roman" w:eastAsia="Times New Roman" w:hAnsi="Times New Roman" w:cs="Times New Roman"/>
                <w:b/>
                <w:bCs/>
                <w:color w:val="000000"/>
              </w:rPr>
            </w:pPr>
            <w:r w:rsidRPr="003E499A">
              <w:rPr>
                <w:rFonts w:ascii="Times New Roman" w:eastAsia="Times New Roman" w:hAnsi="Times New Roman" w:cs="Times New Roman"/>
                <w:b/>
                <w:bCs/>
                <w:color w:val="000000"/>
              </w:rPr>
              <w:t>Type of PA</w:t>
            </w:r>
          </w:p>
        </w:tc>
        <w:tc>
          <w:tcPr>
            <w:tcW w:w="469" w:type="pct"/>
            <w:gridSpan w:val="2"/>
            <w:tcBorders>
              <w:top w:val="single" w:sz="4" w:space="0" w:color="auto"/>
              <w:left w:val="nil"/>
              <w:bottom w:val="single" w:sz="4" w:space="0" w:color="auto"/>
              <w:right w:val="nil"/>
            </w:tcBorders>
            <w:shd w:val="clear" w:color="auto" w:fill="auto"/>
            <w:noWrap/>
            <w:hideMark/>
          </w:tcPr>
          <w:p w:rsidR="00F17E02" w:rsidRPr="003E499A" w:rsidRDefault="00F17E02" w:rsidP="00D0319C">
            <w:pPr>
              <w:spacing w:after="0" w:line="240" w:lineRule="auto"/>
              <w:jc w:val="center"/>
              <w:rPr>
                <w:rFonts w:ascii="Times New Roman" w:eastAsia="Times New Roman" w:hAnsi="Times New Roman" w:cs="Times New Roman"/>
                <w:b/>
                <w:bCs/>
                <w:color w:val="000000"/>
              </w:rPr>
            </w:pPr>
            <w:r w:rsidRPr="003E499A">
              <w:rPr>
                <w:rFonts w:ascii="Times New Roman" w:eastAsia="Times New Roman" w:hAnsi="Times New Roman" w:cs="Times New Roman"/>
                <w:b/>
                <w:bCs/>
                <w:color w:val="000000"/>
              </w:rPr>
              <w:t>Number</w:t>
            </w:r>
          </w:p>
        </w:tc>
        <w:tc>
          <w:tcPr>
            <w:tcW w:w="838" w:type="pct"/>
            <w:gridSpan w:val="2"/>
            <w:tcBorders>
              <w:top w:val="single" w:sz="4" w:space="0" w:color="auto"/>
              <w:left w:val="nil"/>
              <w:bottom w:val="single" w:sz="4" w:space="0" w:color="auto"/>
              <w:right w:val="nil"/>
            </w:tcBorders>
            <w:shd w:val="clear" w:color="auto" w:fill="auto"/>
            <w:noWrap/>
            <w:hideMark/>
          </w:tcPr>
          <w:p w:rsidR="00F17E02" w:rsidRPr="003E499A" w:rsidRDefault="00F17E02" w:rsidP="00D0319C">
            <w:pPr>
              <w:spacing w:after="0" w:line="240" w:lineRule="auto"/>
              <w:jc w:val="center"/>
              <w:rPr>
                <w:rFonts w:ascii="Times New Roman" w:eastAsia="Times New Roman" w:hAnsi="Times New Roman" w:cs="Times New Roman"/>
                <w:b/>
                <w:bCs/>
                <w:color w:val="000000"/>
              </w:rPr>
            </w:pPr>
            <w:r w:rsidRPr="003E499A">
              <w:rPr>
                <w:rFonts w:ascii="Times New Roman" w:eastAsia="Times New Roman" w:hAnsi="Times New Roman" w:cs="Times New Roman"/>
                <w:b/>
                <w:bCs/>
                <w:color w:val="000000"/>
              </w:rPr>
              <w:t>Area (Square km)</w:t>
            </w:r>
          </w:p>
        </w:tc>
        <w:tc>
          <w:tcPr>
            <w:tcW w:w="962" w:type="pct"/>
            <w:gridSpan w:val="2"/>
            <w:tcBorders>
              <w:top w:val="single" w:sz="4" w:space="0" w:color="auto"/>
              <w:left w:val="nil"/>
              <w:bottom w:val="single" w:sz="4" w:space="0" w:color="auto"/>
              <w:right w:val="nil"/>
            </w:tcBorders>
            <w:shd w:val="clear" w:color="auto" w:fill="auto"/>
            <w:noWrap/>
            <w:hideMark/>
          </w:tcPr>
          <w:p w:rsidR="00F17E02" w:rsidRPr="003E499A" w:rsidRDefault="00F17E02" w:rsidP="00D0319C">
            <w:pPr>
              <w:spacing w:after="0" w:line="240" w:lineRule="auto"/>
              <w:jc w:val="center"/>
              <w:rPr>
                <w:rFonts w:ascii="Times New Roman" w:eastAsia="Times New Roman" w:hAnsi="Times New Roman" w:cs="Times New Roman"/>
                <w:b/>
                <w:bCs/>
                <w:color w:val="000000"/>
              </w:rPr>
            </w:pPr>
            <w:r w:rsidRPr="003E499A">
              <w:rPr>
                <w:rFonts w:ascii="Times New Roman" w:eastAsia="Times New Roman" w:hAnsi="Times New Roman" w:cs="Times New Roman"/>
                <w:b/>
                <w:bCs/>
                <w:color w:val="000000"/>
              </w:rPr>
              <w:t>Average (Square km)</w:t>
            </w:r>
          </w:p>
        </w:tc>
        <w:tc>
          <w:tcPr>
            <w:tcW w:w="884" w:type="pct"/>
            <w:gridSpan w:val="2"/>
            <w:tcBorders>
              <w:top w:val="single" w:sz="4" w:space="0" w:color="auto"/>
              <w:left w:val="nil"/>
              <w:bottom w:val="single" w:sz="4" w:space="0" w:color="auto"/>
              <w:right w:val="nil"/>
            </w:tcBorders>
            <w:shd w:val="clear" w:color="auto" w:fill="auto"/>
            <w:noWrap/>
            <w:hideMark/>
          </w:tcPr>
          <w:p w:rsidR="00F17E02" w:rsidRPr="003E499A" w:rsidRDefault="00F17E02" w:rsidP="00D0319C">
            <w:pPr>
              <w:spacing w:after="0" w:line="240" w:lineRule="auto"/>
              <w:jc w:val="center"/>
              <w:rPr>
                <w:rFonts w:ascii="Times New Roman" w:eastAsia="Times New Roman" w:hAnsi="Times New Roman" w:cs="Times New Roman"/>
                <w:b/>
                <w:bCs/>
                <w:color w:val="000000"/>
              </w:rPr>
            </w:pPr>
            <w:r w:rsidRPr="003E499A">
              <w:rPr>
                <w:rFonts w:ascii="Times New Roman" w:eastAsia="Times New Roman" w:hAnsi="Times New Roman" w:cs="Times New Roman"/>
                <w:b/>
                <w:bCs/>
                <w:color w:val="000000"/>
              </w:rPr>
              <w:t>Standard deviation</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Battlefields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11</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78.59</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7.14</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10.92</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Battlefield Parks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4</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33.58</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8.39</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8.22</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lastRenderedPageBreak/>
              <w:t>National Battlefield Sites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rPr>
            </w:pP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rPr>
            </w:pP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Military Parks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9</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171.94</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19.10</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12.71</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Historical Parks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61</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3960.64</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64.93</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286.14</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Historic Sites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74</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149.04</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2.01</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5.62</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International Historic Sites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0.14</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0.14</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Lakeshores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3</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864.87</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288.29</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7.63</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Memorials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31</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54.60</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1.76</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5.14</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Monuments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84</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12531.18</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149.18</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519.52</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Parks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63</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223416.53</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3546.29</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7050.06</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Parkways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4</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715.53</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178.88</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152.63</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Preserve</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19</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215012.90</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11316.47</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13934.65</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Reserves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2</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80.83</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40.42</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53.49</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Recreation Areas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18</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15646.39</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869.24</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1730.69</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Rivers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4</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1096.94</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274.24</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192.23</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Wild and Scenic Rivers and Riverways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10</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4780.57</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478.06</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1112.28</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Scenic Trails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3</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1011.71</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337.24</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Seashores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10</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2394.04</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239.40</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171.13</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Other Designations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11</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189.66</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17.24</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20.92</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rPr>
            </w:pP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rPr>
            </w:pP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rPr>
            </w:pP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rPr>
            </w:pP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Affiliated Areas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25</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4572.77</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182.91</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897.64</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Authorized Areas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6</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rPr>
            </w:pP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rPr>
            </w:pP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Co-Managed Areas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rPr>
            </w:pP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rPr>
            </w:pP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Commemorative Sites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3</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rPr>
            </w:pP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rPr>
            </w:pP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Heritage Areas</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38</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439163.38</w:t>
            </w: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11556.93</w:t>
            </w: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17693.16</w:t>
            </w:r>
          </w:p>
        </w:tc>
      </w:tr>
      <w:tr w:rsidR="00F17E02" w:rsidRPr="003E499A" w:rsidTr="008F575F">
        <w:trPr>
          <w:trHeight w:val="273"/>
          <w:jc w:val="center"/>
        </w:trPr>
        <w:tc>
          <w:tcPr>
            <w:tcW w:w="1846" w:type="pct"/>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Trails System</w:t>
            </w:r>
          </w:p>
        </w:tc>
        <w:tc>
          <w:tcPr>
            <w:tcW w:w="469"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30</w:t>
            </w:r>
          </w:p>
        </w:tc>
        <w:tc>
          <w:tcPr>
            <w:tcW w:w="838"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p>
        </w:tc>
        <w:tc>
          <w:tcPr>
            <w:tcW w:w="962"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rPr>
            </w:pPr>
          </w:p>
        </w:tc>
        <w:tc>
          <w:tcPr>
            <w:tcW w:w="884" w:type="pct"/>
            <w:gridSpan w:val="2"/>
            <w:tcBorders>
              <w:top w:val="nil"/>
              <w:left w:val="nil"/>
              <w:bottom w:val="nil"/>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rPr>
            </w:pPr>
          </w:p>
        </w:tc>
      </w:tr>
      <w:tr w:rsidR="00F17E02" w:rsidRPr="003E499A" w:rsidTr="008F575F">
        <w:trPr>
          <w:trHeight w:val="273"/>
          <w:jc w:val="center"/>
        </w:trPr>
        <w:tc>
          <w:tcPr>
            <w:tcW w:w="1979" w:type="pct"/>
            <w:gridSpan w:val="2"/>
            <w:tcBorders>
              <w:top w:val="nil"/>
              <w:left w:val="nil"/>
              <w:bottom w:val="single" w:sz="4" w:space="0" w:color="auto"/>
              <w:right w:val="nil"/>
            </w:tcBorders>
            <w:shd w:val="clear" w:color="auto" w:fill="auto"/>
            <w:noWrap/>
            <w:vAlign w:val="bottom"/>
            <w:hideMark/>
          </w:tcPr>
          <w:p w:rsidR="00F17E02" w:rsidRPr="003E499A" w:rsidRDefault="00F17E02" w:rsidP="00D0319C">
            <w:pPr>
              <w:spacing w:after="0" w:line="240" w:lineRule="auto"/>
              <w:rPr>
                <w:rFonts w:ascii="Times New Roman" w:eastAsia="Times New Roman" w:hAnsi="Times New Roman" w:cs="Times New Roman"/>
                <w:color w:val="000000"/>
              </w:rPr>
            </w:pPr>
            <w:r w:rsidRPr="003E499A">
              <w:rPr>
                <w:rFonts w:ascii="Times New Roman" w:eastAsia="Times New Roman" w:hAnsi="Times New Roman" w:cs="Times New Roman"/>
                <w:color w:val="000000"/>
              </w:rPr>
              <w:t>National Wild and Scenic Rivers System</w:t>
            </w:r>
          </w:p>
        </w:tc>
        <w:tc>
          <w:tcPr>
            <w:tcW w:w="475" w:type="pct"/>
            <w:gridSpan w:val="2"/>
            <w:tcBorders>
              <w:top w:val="nil"/>
              <w:left w:val="nil"/>
              <w:bottom w:val="single" w:sz="4" w:space="0" w:color="auto"/>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3</w:t>
            </w:r>
          </w:p>
        </w:tc>
        <w:tc>
          <w:tcPr>
            <w:tcW w:w="839" w:type="pct"/>
            <w:gridSpan w:val="2"/>
            <w:tcBorders>
              <w:top w:val="nil"/>
              <w:left w:val="nil"/>
              <w:bottom w:val="single" w:sz="4" w:space="0" w:color="auto"/>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58983.40</w:t>
            </w:r>
          </w:p>
        </w:tc>
        <w:tc>
          <w:tcPr>
            <w:tcW w:w="963" w:type="pct"/>
            <w:gridSpan w:val="2"/>
            <w:tcBorders>
              <w:top w:val="nil"/>
              <w:left w:val="nil"/>
              <w:bottom w:val="single" w:sz="4" w:space="0" w:color="auto"/>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19661.13</w:t>
            </w:r>
          </w:p>
        </w:tc>
        <w:tc>
          <w:tcPr>
            <w:tcW w:w="745" w:type="pct"/>
            <w:tcBorders>
              <w:top w:val="nil"/>
              <w:left w:val="nil"/>
              <w:bottom w:val="single" w:sz="4" w:space="0" w:color="auto"/>
              <w:right w:val="nil"/>
            </w:tcBorders>
            <w:shd w:val="clear" w:color="auto" w:fill="auto"/>
            <w:noWrap/>
            <w:vAlign w:val="bottom"/>
            <w:hideMark/>
          </w:tcPr>
          <w:p w:rsidR="00F17E02" w:rsidRPr="003E499A" w:rsidRDefault="00F17E02" w:rsidP="00D0319C">
            <w:pPr>
              <w:spacing w:after="0" w:line="240" w:lineRule="auto"/>
              <w:jc w:val="right"/>
              <w:rPr>
                <w:rFonts w:ascii="Times New Roman" w:eastAsia="Times New Roman" w:hAnsi="Times New Roman" w:cs="Times New Roman"/>
                <w:color w:val="000000"/>
              </w:rPr>
            </w:pPr>
            <w:r w:rsidRPr="003E499A">
              <w:rPr>
                <w:rFonts w:ascii="Times New Roman" w:eastAsia="Times New Roman" w:hAnsi="Times New Roman" w:cs="Times New Roman"/>
                <w:color w:val="000000"/>
              </w:rPr>
              <w:t>16918.21</w:t>
            </w:r>
          </w:p>
        </w:tc>
      </w:tr>
    </w:tbl>
    <w:p w:rsidR="00F17E02" w:rsidRPr="003E499A" w:rsidRDefault="00F17E02" w:rsidP="00D0319C">
      <w:pPr>
        <w:spacing w:line="240" w:lineRule="auto"/>
      </w:pPr>
    </w:p>
    <w:p w:rsidR="008F575F" w:rsidRDefault="00F17E02" w:rsidP="008F575F">
      <w:pPr>
        <w:keepNext/>
        <w:spacing w:line="240" w:lineRule="auto"/>
      </w:pPr>
      <w:r>
        <w:rPr>
          <w:noProof/>
        </w:rPr>
        <w:lastRenderedPageBreak/>
        <w:drawing>
          <wp:inline distT="0" distB="0" distL="0" distR="0" wp14:anchorId="30826353" wp14:editId="15292904">
            <wp:extent cx="5943600" cy="5676900"/>
            <wp:effectExtent l="0" t="0" r="0" b="0"/>
            <wp:docPr id="1" name="Chart 1">
              <a:extLst xmlns:a="http://schemas.openxmlformats.org/drawingml/2006/main">
                <a:ext uri="{FF2B5EF4-FFF2-40B4-BE49-F238E27FC236}">
                  <a16:creationId xmlns:a16="http://schemas.microsoft.com/office/drawing/2014/main" id="{A2FF4AB2-7C21-C366-FBE0-A3700D0E17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17E02" w:rsidRPr="003E499A" w:rsidRDefault="008F575F" w:rsidP="00D0319C">
      <w:pPr>
        <w:pStyle w:val="Caption"/>
        <w:jc w:val="left"/>
      </w:pPr>
      <w:r>
        <w:t xml:space="preserve">Figure </w:t>
      </w:r>
      <w:fldSimple w:instr=" STYLEREF 1 \s ">
        <w:r>
          <w:rPr>
            <w:noProof/>
          </w:rPr>
          <w:t>3</w:t>
        </w:r>
      </w:fldSimple>
      <w:r>
        <w:t>.</w:t>
      </w:r>
      <w:fldSimple w:instr=" SEQ Figure \* ARABIC \s 1 ">
        <w:r>
          <w:rPr>
            <w:noProof/>
          </w:rPr>
          <w:t>8</w:t>
        </w:r>
      </w:fldSimple>
      <w:r w:rsidR="00F17E02" w:rsidRPr="003E499A">
        <w:t>. Average size of major PAs in the USA</w:t>
      </w:r>
      <w:r w:rsidR="00F17E02">
        <w:t xml:space="preserve"> and the 1/10 of the </w:t>
      </w:r>
      <w:r w:rsidR="00F17E02" w:rsidRPr="005A668B">
        <w:t>Standard deviation on average size of major PAs in the USA</w:t>
      </w:r>
    </w:p>
    <w:p w:rsidR="008F575F" w:rsidRDefault="00F17E02" w:rsidP="008F575F">
      <w:pPr>
        <w:keepNext/>
        <w:spacing w:line="240" w:lineRule="auto"/>
      </w:pPr>
      <w:r w:rsidRPr="003E499A">
        <w:rPr>
          <w:rFonts w:ascii="Times New Roman" w:hAnsi="Times New Roman" w:cs="Times New Roman"/>
          <w:noProof/>
          <w:sz w:val="24"/>
          <w:szCs w:val="24"/>
        </w:rPr>
        <w:lastRenderedPageBreak/>
        <w:drawing>
          <wp:inline distT="0" distB="0" distL="0" distR="0" wp14:anchorId="67174B54" wp14:editId="03B1BD4C">
            <wp:extent cx="5943600" cy="3809988"/>
            <wp:effectExtent l="19050" t="19050" r="19050" b="196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809988"/>
                    </a:xfrm>
                    <a:prstGeom prst="rect">
                      <a:avLst/>
                    </a:prstGeom>
                    <a:ln w="3175">
                      <a:solidFill>
                        <a:schemeClr val="tx1"/>
                      </a:solidFill>
                    </a:ln>
                  </pic:spPr>
                </pic:pic>
              </a:graphicData>
            </a:graphic>
          </wp:inline>
        </w:drawing>
      </w:r>
    </w:p>
    <w:p w:rsidR="00F17E02" w:rsidRPr="003E499A" w:rsidRDefault="008F575F" w:rsidP="00D0319C">
      <w:pPr>
        <w:pStyle w:val="Caption"/>
        <w:jc w:val="left"/>
      </w:pPr>
      <w:r>
        <w:t xml:space="preserve">Figure </w:t>
      </w:r>
      <w:fldSimple w:instr=" STYLEREF 1 \s ">
        <w:r>
          <w:rPr>
            <w:noProof/>
          </w:rPr>
          <w:t>3</w:t>
        </w:r>
      </w:fldSimple>
      <w:r>
        <w:t>.</w:t>
      </w:r>
      <w:fldSimple w:instr=" SEQ Figure \* ARABIC \s 1 ">
        <w:r>
          <w:rPr>
            <w:noProof/>
          </w:rPr>
          <w:t>9</w:t>
        </w:r>
      </w:fldSimple>
      <w:r w:rsidR="00F17E02">
        <w:t xml:space="preserve">. </w:t>
      </w:r>
      <w:r w:rsidR="00F17E02" w:rsidRPr="003E499A">
        <w:t>Trend of establishment of major PAs in the USA by number and area</w:t>
      </w:r>
    </w:p>
    <w:p w:rsidR="008F575F" w:rsidRDefault="00F17E02" w:rsidP="008F575F">
      <w:pPr>
        <w:keepNext/>
        <w:spacing w:line="240" w:lineRule="auto"/>
      </w:pPr>
      <w:r w:rsidRPr="003E499A">
        <w:rPr>
          <w:noProof/>
        </w:rPr>
        <w:lastRenderedPageBreak/>
        <w:drawing>
          <wp:inline distT="0" distB="0" distL="0" distR="0" wp14:anchorId="54B7AFAD" wp14:editId="25DB59FD">
            <wp:extent cx="5943600" cy="5895975"/>
            <wp:effectExtent l="0" t="0" r="0" b="9525"/>
            <wp:docPr id="28" name="Chart 28">
              <a:extLst xmlns:a="http://schemas.openxmlformats.org/drawingml/2006/main">
                <a:ext uri="{FF2B5EF4-FFF2-40B4-BE49-F238E27FC236}">
                  <a16:creationId xmlns:a16="http://schemas.microsoft.com/office/drawing/2014/main" id="{41F14323-71A2-4578-B88F-61AF8E1176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17E02" w:rsidRPr="003E499A" w:rsidRDefault="008F575F" w:rsidP="00D0319C">
      <w:pPr>
        <w:pStyle w:val="Caption"/>
        <w:jc w:val="left"/>
      </w:pPr>
      <w:r>
        <w:t xml:space="preserve">Figure </w:t>
      </w:r>
      <w:fldSimple w:instr=" STYLEREF 1 \s ">
        <w:r>
          <w:rPr>
            <w:noProof/>
          </w:rPr>
          <w:t>3</w:t>
        </w:r>
      </w:fldSimple>
      <w:r>
        <w:t>.</w:t>
      </w:r>
      <w:fldSimple w:instr=" SEQ Figure \* ARABIC \s 1 ">
        <w:r>
          <w:rPr>
            <w:noProof/>
          </w:rPr>
          <w:t>10</w:t>
        </w:r>
      </w:fldSimple>
      <w:r w:rsidR="00F17E02">
        <w:t xml:space="preserve">. </w:t>
      </w:r>
      <w:r w:rsidR="00F17E02" w:rsidRPr="003E499A">
        <w:t>Trends of establishment of PAs in the USA</w:t>
      </w:r>
    </w:p>
    <w:p w:rsidR="008F575F" w:rsidRDefault="00F17E02" w:rsidP="008F575F">
      <w:pPr>
        <w:keepNext/>
        <w:spacing w:line="240" w:lineRule="auto"/>
      </w:pPr>
      <w:r w:rsidRPr="003E499A">
        <w:rPr>
          <w:noProof/>
        </w:rPr>
        <w:lastRenderedPageBreak/>
        <w:drawing>
          <wp:inline distT="0" distB="0" distL="0" distR="0" wp14:anchorId="6B180617" wp14:editId="13AE8FA1">
            <wp:extent cx="5943600" cy="4000500"/>
            <wp:effectExtent l="0" t="0" r="0" b="0"/>
            <wp:docPr id="29" name="Chart 29">
              <a:extLst xmlns:a="http://schemas.openxmlformats.org/drawingml/2006/main">
                <a:ext uri="{FF2B5EF4-FFF2-40B4-BE49-F238E27FC236}">
                  <a16:creationId xmlns:a16="http://schemas.microsoft.com/office/drawing/2014/main" id="{F22FE959-21C7-4F17-917E-F0507CC184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17E02" w:rsidRDefault="008F575F" w:rsidP="00D0319C">
      <w:pPr>
        <w:pStyle w:val="Caption"/>
        <w:jc w:val="left"/>
      </w:pPr>
      <w:r>
        <w:t xml:space="preserve">Figure </w:t>
      </w:r>
      <w:fldSimple w:instr=" STYLEREF 1 \s ">
        <w:r>
          <w:rPr>
            <w:noProof/>
          </w:rPr>
          <w:t>3</w:t>
        </w:r>
      </w:fldSimple>
      <w:r>
        <w:t>.</w:t>
      </w:r>
      <w:fldSimple w:instr=" SEQ Figure \* ARABIC \s 1 ">
        <w:r>
          <w:rPr>
            <w:noProof/>
          </w:rPr>
          <w:t>11</w:t>
        </w:r>
      </w:fldSimple>
      <w:r w:rsidR="00F17E02">
        <w:t xml:space="preserve">. </w:t>
      </w:r>
      <w:r w:rsidR="00F17E02" w:rsidRPr="003E499A">
        <w:t>Trend of establishment of PAs (Related Areas) in the USA</w:t>
      </w:r>
    </w:p>
    <w:p w:rsidR="00F17E02" w:rsidRPr="003E499A" w:rsidRDefault="00F17E02" w:rsidP="00D0319C">
      <w:pPr>
        <w:pStyle w:val="Heading3"/>
      </w:pPr>
      <w:r w:rsidRPr="003E499A">
        <w:t>Conclusion on PAs network</w:t>
      </w:r>
    </w:p>
    <w:p w:rsidR="00F17E02" w:rsidRDefault="00F17E02" w:rsidP="00F17E02">
      <w:pPr>
        <w:spacing w:line="240" w:lineRule="auto"/>
        <w:rPr>
          <w:rFonts w:ascii="Times New Roman" w:hAnsi="Times New Roman" w:cs="Times New Roman"/>
          <w:sz w:val="24"/>
          <w:szCs w:val="24"/>
        </w:rPr>
      </w:pPr>
      <w:r w:rsidRPr="000B5A80">
        <w:rPr>
          <w:rFonts w:ascii="Times New Roman" w:hAnsi="Times New Roman" w:cs="Times New Roman"/>
          <w:sz w:val="24"/>
          <w:szCs w:val="24"/>
        </w:rPr>
        <w:t xml:space="preserve">DRC, Rwandan, and Ugandan history were all characterized by glorious ages, moments of </w:t>
      </w:r>
      <w:r w:rsidR="000B5A80" w:rsidRPr="000B5A80">
        <w:rPr>
          <w:rFonts w:ascii="Times New Roman" w:hAnsi="Times New Roman" w:cs="Times New Roman"/>
          <w:sz w:val="24"/>
          <w:szCs w:val="24"/>
        </w:rPr>
        <w:t>victories, battles, abuse of power, violence, aggression, colonial atrocities, invasions, and disasters</w:t>
      </w:r>
      <w:r w:rsidR="000B5A80">
        <w:rPr>
          <w:rFonts w:ascii="Times New Roman" w:hAnsi="Times New Roman" w:cs="Times New Roman"/>
          <w:sz w:val="24"/>
          <w:szCs w:val="24"/>
        </w:rPr>
        <w:t>, yet these countries lack preserved reminders of these particular periods</w:t>
      </w:r>
      <w:r w:rsidRPr="000B5A80">
        <w:rPr>
          <w:rFonts w:ascii="Times New Roman" w:hAnsi="Times New Roman" w:cs="Times New Roman"/>
          <w:sz w:val="24"/>
          <w:szCs w:val="24"/>
        </w:rPr>
        <w:t>. PAs</w:t>
      </w:r>
      <w:r w:rsidRPr="003E499A">
        <w:rPr>
          <w:rFonts w:ascii="Times New Roman" w:hAnsi="Times New Roman" w:cs="Times New Roman"/>
          <w:sz w:val="24"/>
          <w:szCs w:val="24"/>
        </w:rPr>
        <w:t xml:space="preserve"> already play a huge role in preserving such precious historic and cultural heritage in the USA but in these three countries, there is no type of PAs similar to the USA’s National Battlefields, no National Battlefield Parks, no National Battlefield Sites, no National Military Parks, no National Historical Parks, and no International Historic Sites. Hence, DRC, Rwanda, and Uganda need such kinds of PAs, instead of only </w:t>
      </w:r>
      <w:r w:rsidR="00345338">
        <w:rPr>
          <w:rFonts w:ascii="Times New Roman" w:hAnsi="Times New Roman" w:cs="Times New Roman"/>
          <w:sz w:val="24"/>
          <w:szCs w:val="24"/>
        </w:rPr>
        <w:t>dedicating</w:t>
      </w:r>
      <w:r w:rsidRPr="003E499A">
        <w:rPr>
          <w:rFonts w:ascii="Times New Roman" w:hAnsi="Times New Roman" w:cs="Times New Roman"/>
          <w:sz w:val="24"/>
          <w:szCs w:val="24"/>
        </w:rPr>
        <w:t xml:space="preserve"> the preservation of their historic and cultural heritage to a few museums. Moreover, being part of the African Great Lakes region and having abundant water resources, numerous lakes and rivers which are currently even being affected by climate change, DRC, Rwanda, and Uganda desperately need similar types of PAs such as National Lakeshores, National Rivers, and National Wild and Scenic Rivers and Riverways. Finally, these three countries have all recorded explosive demographic growth during the last decades hence, are in need of a high level of land use efficiency. These countries should give priority to less demanding types of PAs in terms of land </w:t>
      </w:r>
      <w:r>
        <w:rPr>
          <w:rFonts w:ascii="Times New Roman" w:hAnsi="Times New Roman" w:cs="Times New Roman"/>
          <w:sz w:val="24"/>
          <w:szCs w:val="24"/>
        </w:rPr>
        <w:t>coverage</w:t>
      </w:r>
      <w:r w:rsidRPr="003E499A">
        <w:rPr>
          <w:rFonts w:ascii="Times New Roman" w:hAnsi="Times New Roman" w:cs="Times New Roman"/>
          <w:sz w:val="24"/>
          <w:szCs w:val="24"/>
        </w:rPr>
        <w:t>. On the other hand, these countries have got spots of landscape with outstanding beauty, exceptional geological formations, remarkable physiographic features, etc. Types of PAs similar to USA’s National Monuments, National Parkways, National Preserve, National Reserves, National Recreation Areas, National Scenic Trails, Other Designations, and Related Areas are all needed in these countries. While Rwanda and Uganda are landlocked countries DRC is not. There is a need to consider establishing a new type of PA similar to the USA’s National Seashores to protect DRC's hugely rich marine biodiversity.</w:t>
      </w:r>
    </w:p>
    <w:p w:rsidR="00F17E02" w:rsidRPr="003E499A" w:rsidRDefault="00F17E02" w:rsidP="00F17E02">
      <w:pPr>
        <w:pStyle w:val="Heading1"/>
        <w:spacing w:line="240" w:lineRule="auto"/>
      </w:pPr>
      <w:r w:rsidRPr="003E499A">
        <w:lastRenderedPageBreak/>
        <w:t>Discussion and conclusion</w:t>
      </w:r>
    </w:p>
    <w:p w:rsidR="00786CED" w:rsidRPr="003E499A" w:rsidRDefault="00786CED" w:rsidP="00786CED">
      <w:pPr>
        <w:spacing w:line="240" w:lineRule="auto"/>
        <w:rPr>
          <w:rFonts w:ascii="Times New Roman" w:hAnsi="Times New Roman" w:cs="Times New Roman"/>
          <w:color w:val="000000" w:themeColor="text1"/>
          <w:sz w:val="24"/>
          <w:szCs w:val="24"/>
        </w:rPr>
      </w:pPr>
      <w:r w:rsidRPr="003E499A">
        <w:rPr>
          <w:rFonts w:ascii="Times New Roman" w:hAnsi="Times New Roman" w:cs="Times New Roman"/>
          <w:color w:val="000000" w:themeColor="text1"/>
          <w:sz w:val="24"/>
          <w:szCs w:val="24"/>
        </w:rPr>
        <w:t>PAs</w:t>
      </w:r>
      <w:r>
        <w:rPr>
          <w:rFonts w:ascii="Times New Roman" w:hAnsi="Times New Roman" w:cs="Times New Roman"/>
          <w:color w:val="000000" w:themeColor="text1"/>
          <w:sz w:val="24"/>
          <w:szCs w:val="24"/>
        </w:rPr>
        <w:t xml:space="preserve"> supreme mission is</w:t>
      </w:r>
      <w:r w:rsidRPr="003E499A">
        <w:rPr>
          <w:rFonts w:ascii="Times New Roman" w:hAnsi="Times New Roman" w:cs="Times New Roman"/>
          <w:color w:val="000000" w:themeColor="text1"/>
          <w:sz w:val="24"/>
          <w:szCs w:val="24"/>
        </w:rPr>
        <w:t xml:space="preserve"> to safeguard biodiversity in perpetuity for current and future generations, it is </w:t>
      </w:r>
      <w:r w:rsidR="00C223C4">
        <w:rPr>
          <w:rFonts w:ascii="Times New Roman" w:hAnsi="Times New Roman" w:cs="Times New Roman"/>
          <w:color w:val="000000" w:themeColor="text1"/>
          <w:sz w:val="24"/>
          <w:szCs w:val="24"/>
        </w:rPr>
        <w:t>convenient</w:t>
      </w:r>
      <w:r w:rsidRPr="003E499A">
        <w:rPr>
          <w:rFonts w:ascii="Times New Roman" w:hAnsi="Times New Roman" w:cs="Times New Roman"/>
          <w:color w:val="000000" w:themeColor="text1"/>
          <w:sz w:val="24"/>
          <w:szCs w:val="24"/>
        </w:rPr>
        <w:t xml:space="preserve"> that from time-to-time stakeholders involved in the conservation sector look back to check if the current actions and management direction taken by PAs administration fit the original objectives and principles set by the forefathers of the NPs movement. The objective of the regular check-ups is to timely fix breakdowns displayed and </w:t>
      </w:r>
      <w:r w:rsidRPr="00D43A43">
        <w:rPr>
          <w:rFonts w:ascii="Times New Roman" w:hAnsi="Times New Roman" w:cs="Times New Roman"/>
          <w:color w:val="000000" w:themeColor="text1"/>
          <w:sz w:val="24"/>
          <w:szCs w:val="24"/>
        </w:rPr>
        <w:t xml:space="preserve">bring the whole conservation machine back to its original track, and there could be no better time for flashbacks than a century. In addition, in the world of ever-changing challenges, and continuous dangerous human-made interference with climate, in order for the system to remain functional and effective, managers must consider a far more dynamic future </w:t>
      </w:r>
      <w:r w:rsidRPr="00D43A43">
        <w:rPr>
          <w:rFonts w:ascii="Times New Roman" w:hAnsi="Times New Roman" w:cs="Times New Roman"/>
          <w:color w:val="000000" w:themeColor="text1"/>
          <w:sz w:val="24"/>
          <w:szCs w:val="24"/>
        </w:rPr>
        <w:fldChar w:fldCharType="begin" w:fldLock="1"/>
      </w:r>
      <w:r w:rsidRPr="00D43A43">
        <w:rPr>
          <w:rFonts w:ascii="Times New Roman" w:hAnsi="Times New Roman" w:cs="Times New Roman"/>
          <w:color w:val="000000" w:themeColor="text1"/>
          <w:sz w:val="24"/>
          <w:szCs w:val="24"/>
        </w:rPr>
        <w:instrText>ADDIN CSL_CITATION {"citationItems":[{"id":"ITEM-1","itemData":{"DOI":"10.2305/IUCN.CH.2014.PARKS-20-2.DRC.en","ISSN":"24112119","abstract":"The US National Park System is significantly different – in scope, number of units, size and complexity – than in the 1960s when the Leopold Report. Scientific understanding of natural and cultural resources has expanded dramatically. Developments since the 1960s include increasing biodiversity loss, habitat fragmentation, land use change, groundwater depletion, invasive species, rapid and sometimes unplanned development, growing air, noise, and light pollution and the impacts of climate change. The cultural values and interests held by the American people have also broadened, generating pressing demands for parks to reflect diversity and relevance for new generations. Fifty years on, the National Parks Service and its National Park System Advisory Board have revisited the Leopold Report. The new report, Revisiting Leopold, published here, focuses on the natural and cultural resource management of the National Park System and answers three questions: 1) What should be the goals of resource management in the National Park System?; 2) What policies for resource management are necessary to achieve these goals?; 3) What actions are required to implement these policies?.","author":[{"dropping-particle":"","family":"Colwell","given":"Rita","non-dropping-particle":"","parse-names":false,"suffix":""},{"dropping-particle":"","family":"Avery","given":"Susan","non-dropping-particle":"","parse-names":false,"suffix":""},{"dropping-particle":"","family":"Berger","given":"Joel","non-dropping-particle":"","parse-names":false,"suffix":""},{"dropping-particle":"","family":"Davis","given":"Gary E.","non-dropping-particle":"","parse-names":false,"suffix":""},{"dropping-particle":"","family":"Hamilton","given":"Healy","non-dropping-particle":"","parse-names":false,"suffix":""},{"dropping-particle":"","family":"Lovejoy","given":"Thomas","non-dropping-particle":"","parse-names":false,"suffix":""},{"dropping-particle":"","family":"Malcom","given":"Shirley","non-dropping-particle":"","parse-names":false,"suffix":""},{"dropping-particle":"","family":"McMullen","given":"Ann","non-dropping-particle":"","parse-names":false,"suffix":""},{"dropping-particle":"","family":"Novacek","given":"Michael","non-dropping-particle":"","parse-names":false,"suffix":""},{"dropping-particle":"","family":"Roberts","given":"Richard J.","non-dropping-particle":"","parse-names":false,"suffix":""},{"dropping-particle":"","family":"Tapia","given":"Richard","non-dropping-particle":"","parse-names":false,"suffix":""},{"dropping-particle":"","family":"Machlis","given":"Gary","non-dropping-particle":"","parse-names":false,"suffix":""}],"container-title":"Parks","id":"ITEM-1","issue":"2","issued":{"date-parts":[["2014"]]},"page":"16-23","title":"Revisiting Leopold: Resource stewardship in the national parks","type":"article-journal","volume":"20"},"uris":["http://www.mendeley.com/documents/?uuid=6bf9defc-abbb-446c-b046-7a3</w:instrText>
      </w:r>
      <w:r w:rsidRPr="00D43A43">
        <w:rPr>
          <w:rFonts w:ascii="Times New Roman" w:hAnsi="Times New Roman" w:cs="Times New Roman" w:hint="eastAsia"/>
          <w:color w:val="000000" w:themeColor="text1"/>
          <w:sz w:val="24"/>
          <w:szCs w:val="24"/>
        </w:rPr>
        <w:instrText xml:space="preserve">b0f2a62ed"]},{"id":"ITEM-2","itemData":{"DOI":"10.1073/pnas.0606291103","ISSN":"00278424","PMID":"17001018","abstract":"Global surface temperature has increased </w:instrText>
      </w:r>
      <w:r w:rsidRPr="00D43A43">
        <w:rPr>
          <w:rFonts w:ascii="Times New Roman" w:hAnsi="Times New Roman" w:cs="Times New Roman" w:hint="eastAsia"/>
          <w:color w:val="000000" w:themeColor="text1"/>
          <w:sz w:val="24"/>
          <w:szCs w:val="24"/>
        </w:rPr>
        <w:instrText>≈</w:instrText>
      </w:r>
      <w:r w:rsidRPr="00D43A43">
        <w:rPr>
          <w:rFonts w:ascii="Times New Roman" w:hAnsi="Times New Roman" w:cs="Times New Roman" w:hint="eastAsia"/>
          <w:color w:val="000000" w:themeColor="text1"/>
          <w:sz w:val="24"/>
          <w:szCs w:val="24"/>
        </w:rPr>
        <w:instrText>0.2</w:instrText>
      </w:r>
      <w:r w:rsidRPr="00D43A43">
        <w:rPr>
          <w:rFonts w:ascii="Times New Roman" w:hAnsi="Times New Roman" w:cs="Times New Roman" w:hint="eastAsia"/>
          <w:color w:val="000000" w:themeColor="text1"/>
          <w:sz w:val="24"/>
          <w:szCs w:val="24"/>
        </w:rPr>
        <w:instrText>°</w:instrText>
      </w:r>
      <w:r w:rsidRPr="00D43A43">
        <w:rPr>
          <w:rFonts w:ascii="Times New Roman" w:hAnsi="Times New Roman" w:cs="Times New Roman" w:hint="eastAsia"/>
          <w:color w:val="000000" w:themeColor="text1"/>
          <w:sz w:val="24"/>
          <w:szCs w:val="24"/>
        </w:rPr>
        <w:instrText xml:space="preserve">C per decade in the past 30 years, similar to the warming rate predicted in the 1980s in </w:instrText>
      </w:r>
      <w:r w:rsidRPr="00D43A43">
        <w:rPr>
          <w:rFonts w:ascii="Times New Roman" w:hAnsi="Times New Roman" w:cs="Times New Roman"/>
          <w:color w:val="000000" w:themeColor="text1"/>
          <w:sz w:val="24"/>
          <w:szCs w:val="24"/>
        </w:rPr>
        <w:instrText xml:space="preserve">initial global climate model simulations with transient greenhouse gas changes. Warming is larger in the Western Equatorial Pacific than in the Eastern Equatorial Pacific over the past century, and we suggest that the increased West-East temperature gradient may have increased the likelihood of strong El Niños, such as those of 1983 and 1998. Comparison of measured sea surface temperatures in the Western Pacific with paleoclimate data suggests that this critical ocean region, and probably the planet as a </w:instrText>
      </w:r>
      <w:r w:rsidRPr="00D43A43">
        <w:rPr>
          <w:rFonts w:ascii="Times New Roman" w:hAnsi="Times New Roman" w:cs="Times New Roman" w:hint="eastAsia"/>
          <w:color w:val="000000" w:themeColor="text1"/>
          <w:sz w:val="24"/>
          <w:szCs w:val="24"/>
        </w:rPr>
        <w:instrText xml:space="preserve">whole, is approximately as warm now as at the Holocene maximum and within </w:instrText>
      </w:r>
      <w:r w:rsidRPr="00D43A43">
        <w:rPr>
          <w:rFonts w:ascii="Times New Roman" w:hAnsi="Times New Roman" w:cs="Times New Roman" w:hint="eastAsia"/>
          <w:color w:val="000000" w:themeColor="text1"/>
          <w:sz w:val="24"/>
          <w:szCs w:val="24"/>
        </w:rPr>
        <w:instrText>≈</w:instrText>
      </w:r>
      <w:r w:rsidRPr="00D43A43">
        <w:rPr>
          <w:rFonts w:ascii="Times New Roman" w:hAnsi="Times New Roman" w:cs="Times New Roman" w:hint="eastAsia"/>
          <w:color w:val="000000" w:themeColor="text1"/>
          <w:sz w:val="24"/>
          <w:szCs w:val="24"/>
        </w:rPr>
        <w:instrText>1</w:instrText>
      </w:r>
      <w:r w:rsidRPr="00D43A43">
        <w:rPr>
          <w:rFonts w:ascii="Times New Roman" w:hAnsi="Times New Roman" w:cs="Times New Roman" w:hint="eastAsia"/>
          <w:color w:val="000000" w:themeColor="text1"/>
          <w:sz w:val="24"/>
          <w:szCs w:val="24"/>
        </w:rPr>
        <w:instrText>°</w:instrText>
      </w:r>
      <w:r w:rsidRPr="00D43A43">
        <w:rPr>
          <w:rFonts w:ascii="Times New Roman" w:hAnsi="Times New Roman" w:cs="Times New Roman" w:hint="eastAsia"/>
          <w:color w:val="000000" w:themeColor="text1"/>
          <w:sz w:val="24"/>
          <w:szCs w:val="24"/>
        </w:rPr>
        <w:instrText xml:space="preserve">C of the maximum temperature of the past million years. We conclude that global warming of more than </w:instrText>
      </w:r>
      <w:r w:rsidRPr="00D43A43">
        <w:rPr>
          <w:rFonts w:ascii="Times New Roman" w:hAnsi="Times New Roman" w:cs="Times New Roman" w:hint="eastAsia"/>
          <w:color w:val="000000" w:themeColor="text1"/>
          <w:sz w:val="24"/>
          <w:szCs w:val="24"/>
        </w:rPr>
        <w:instrText>≈</w:instrText>
      </w:r>
      <w:r w:rsidRPr="00D43A43">
        <w:rPr>
          <w:rFonts w:ascii="Times New Roman" w:hAnsi="Times New Roman" w:cs="Times New Roman" w:hint="eastAsia"/>
          <w:color w:val="000000" w:themeColor="text1"/>
          <w:sz w:val="24"/>
          <w:szCs w:val="24"/>
        </w:rPr>
        <w:instrText>1</w:instrText>
      </w:r>
      <w:r w:rsidRPr="00D43A43">
        <w:rPr>
          <w:rFonts w:ascii="Times New Roman" w:hAnsi="Times New Roman" w:cs="Times New Roman" w:hint="eastAsia"/>
          <w:color w:val="000000" w:themeColor="text1"/>
          <w:sz w:val="24"/>
          <w:szCs w:val="24"/>
        </w:rPr>
        <w:instrText>°</w:instrText>
      </w:r>
      <w:r w:rsidRPr="00D43A43">
        <w:rPr>
          <w:rFonts w:ascii="Times New Roman" w:hAnsi="Times New Roman" w:cs="Times New Roman" w:hint="eastAsia"/>
          <w:color w:val="000000" w:themeColor="text1"/>
          <w:sz w:val="24"/>
          <w:szCs w:val="24"/>
        </w:rPr>
        <w:instrText>C, relative to 2000, will constitute \"dangerous\" climate change as judge</w:instrText>
      </w:r>
      <w:r w:rsidRPr="00D43A43">
        <w:rPr>
          <w:rFonts w:ascii="Times New Roman" w:hAnsi="Times New Roman" w:cs="Times New Roman"/>
          <w:color w:val="000000" w:themeColor="text1"/>
          <w:sz w:val="24"/>
          <w:szCs w:val="24"/>
        </w:rPr>
        <w:instrText>d from likely effects on sea level and extermination of species. © 2006 by The National Academy of Sciences of the USA.","author":[{"dropping-particle":"","family":"Hansen","given":"James","non-dropping-particle":"","parse-names":false,"suffix":""},{"dropping-particle":"","family":"Sato","given":"Makiko","non-dropping-particle":"","parse-names":false,"suffix":""},{"dropping-particle":"","family":"Ruedy","given":"Reto","non-dropping-particle":"","parse-names":false,"suffix":""},{"dropping-particle":"","family":"Lo","given":"Ken","non-dropping-particle":"","parse-names":false,"suffix":""},{"dropping-particle":"","family":"Lea","given":"David W.","non-dropping-particle":"","parse-names":false,"suffix":""},{"dropping-particle":"","family":"Medina-Elizade","given":"Martin","non-dropping-particle":"","parse-names":false,"suffix":""}],"container-title":"Proceedings of the National Academy of Sciences of the United States of America","id":"ITEM-2","issue":"39","issued":{"date-parts":[["2006"]]},"page":"14288-14293","title":"Global temperature change","type":"article-journal","volume":"103"},"uris":["http://www.mendeley.com/documents/?uuid=9849d2d4-31c4-458d-b2c0-1e2b890ba1f8"]}],"mendeley":{"formattedCitation":"(Hansen &lt;i&gt;et al.&lt;/i&gt;, 2006; Colwell &lt;i&gt;et al.&lt;/i&gt;, 2014)","plainTextFormattedCitation":"(Hansen et al., 2006; Colwell et al., 2014)","previouslyFormattedCitation":"(Hansen &lt;i&gt;et al.&lt;/i&gt;, 2006; Colwell &lt;i&gt;et al.&lt;/i&gt;, 2014)"},"properties":{"noteIndex":0},"schema":"https://github.com/citation-style-language/schema/raw/master/csl-citation.json"}</w:instrText>
      </w:r>
      <w:r w:rsidRPr="00D43A43">
        <w:rPr>
          <w:rFonts w:ascii="Times New Roman" w:hAnsi="Times New Roman" w:cs="Times New Roman"/>
          <w:color w:val="000000" w:themeColor="text1"/>
          <w:sz w:val="24"/>
          <w:szCs w:val="24"/>
        </w:rPr>
        <w:fldChar w:fldCharType="separate"/>
      </w:r>
      <w:r w:rsidRPr="00D43A43">
        <w:rPr>
          <w:rFonts w:ascii="Times New Roman" w:hAnsi="Times New Roman" w:cs="Times New Roman"/>
          <w:noProof/>
          <w:color w:val="000000" w:themeColor="text1"/>
          <w:sz w:val="24"/>
          <w:szCs w:val="24"/>
        </w:rPr>
        <w:t xml:space="preserve">(Hansen </w:t>
      </w:r>
      <w:r w:rsidRPr="00D43A43">
        <w:rPr>
          <w:rFonts w:ascii="Times New Roman" w:hAnsi="Times New Roman" w:cs="Times New Roman"/>
          <w:i/>
          <w:noProof/>
          <w:color w:val="000000" w:themeColor="text1"/>
          <w:sz w:val="24"/>
          <w:szCs w:val="24"/>
        </w:rPr>
        <w:t>et al.</w:t>
      </w:r>
      <w:r w:rsidRPr="00D43A43">
        <w:rPr>
          <w:rFonts w:ascii="Times New Roman" w:hAnsi="Times New Roman" w:cs="Times New Roman"/>
          <w:noProof/>
          <w:color w:val="000000" w:themeColor="text1"/>
          <w:sz w:val="24"/>
          <w:szCs w:val="24"/>
        </w:rPr>
        <w:t xml:space="preserve">, 2006; Colwell </w:t>
      </w:r>
      <w:r w:rsidRPr="00D43A43">
        <w:rPr>
          <w:rFonts w:ascii="Times New Roman" w:hAnsi="Times New Roman" w:cs="Times New Roman"/>
          <w:i/>
          <w:noProof/>
          <w:color w:val="000000" w:themeColor="text1"/>
          <w:sz w:val="24"/>
          <w:szCs w:val="24"/>
        </w:rPr>
        <w:t>et al.</w:t>
      </w:r>
      <w:r w:rsidRPr="00D43A43">
        <w:rPr>
          <w:rFonts w:ascii="Times New Roman" w:hAnsi="Times New Roman" w:cs="Times New Roman"/>
          <w:noProof/>
          <w:color w:val="000000" w:themeColor="text1"/>
          <w:sz w:val="24"/>
          <w:szCs w:val="24"/>
        </w:rPr>
        <w:t>, 2014)</w:t>
      </w:r>
      <w:r w:rsidRPr="00D43A43">
        <w:rPr>
          <w:rFonts w:ascii="Times New Roman" w:hAnsi="Times New Roman" w:cs="Times New Roman"/>
          <w:color w:val="000000" w:themeColor="text1"/>
          <w:sz w:val="24"/>
          <w:szCs w:val="24"/>
        </w:rPr>
        <w:fldChar w:fldCharType="end"/>
      </w:r>
      <w:r w:rsidRPr="00D43A43">
        <w:rPr>
          <w:rFonts w:ascii="Times New Roman" w:hAnsi="Times New Roman" w:cs="Times New Roman"/>
          <w:color w:val="000000" w:themeColor="text1"/>
          <w:sz w:val="24"/>
          <w:szCs w:val="24"/>
        </w:rPr>
        <w:t>.</w:t>
      </w:r>
    </w:p>
    <w:p w:rsidR="00F17E02" w:rsidRDefault="00786CED" w:rsidP="00F17E02">
      <w:pPr>
        <w:spacing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T</w:t>
      </w:r>
      <w:r w:rsidR="00F17E02" w:rsidRPr="0052242F">
        <w:rPr>
          <w:rFonts w:ascii="Times New Roman" w:hAnsi="Times New Roman" w:cs="Times New Roman"/>
          <w:color w:val="000000" w:themeColor="text1"/>
          <w:sz w:val="24"/>
          <w:szCs w:val="24"/>
        </w:rPr>
        <w:t xml:space="preserve">his study </w:t>
      </w:r>
      <w:r w:rsidR="008579E3">
        <w:rPr>
          <w:rFonts w:ascii="Times New Roman" w:hAnsi="Times New Roman" w:cs="Times New Roman"/>
          <w:color w:val="000000" w:themeColor="text1"/>
          <w:sz w:val="24"/>
          <w:szCs w:val="24"/>
        </w:rPr>
        <w:t xml:space="preserve">assesses </w:t>
      </w:r>
      <w:r w:rsidR="006D2F9B">
        <w:rPr>
          <w:rFonts w:ascii="Times New Roman" w:hAnsi="Times New Roman" w:cs="Times New Roman"/>
          <w:color w:val="000000" w:themeColor="text1"/>
          <w:sz w:val="24"/>
          <w:szCs w:val="24"/>
        </w:rPr>
        <w:t xml:space="preserve">and </w:t>
      </w:r>
      <w:r w:rsidR="00F17E02" w:rsidRPr="0052242F">
        <w:rPr>
          <w:rFonts w:ascii="Times New Roman" w:hAnsi="Times New Roman" w:cs="Times New Roman"/>
          <w:color w:val="000000" w:themeColor="text1"/>
          <w:sz w:val="24"/>
          <w:szCs w:val="24"/>
        </w:rPr>
        <w:t>compare</w:t>
      </w:r>
      <w:r w:rsidR="00F17E02">
        <w:rPr>
          <w:rFonts w:ascii="Times New Roman" w:hAnsi="Times New Roman" w:cs="Times New Roman"/>
          <w:color w:val="000000" w:themeColor="text1"/>
          <w:sz w:val="24"/>
          <w:szCs w:val="24"/>
        </w:rPr>
        <w:t>s</w:t>
      </w:r>
      <w:r w:rsidR="006D2F9B">
        <w:rPr>
          <w:rFonts w:ascii="Times New Roman" w:hAnsi="Times New Roman" w:cs="Times New Roman"/>
          <w:color w:val="000000" w:themeColor="text1"/>
          <w:sz w:val="24"/>
          <w:szCs w:val="24"/>
        </w:rPr>
        <w:t xml:space="preserve"> both</w:t>
      </w:r>
      <w:r w:rsidR="00F17E02" w:rsidRPr="0052242F">
        <w:rPr>
          <w:rFonts w:ascii="Times New Roman" w:hAnsi="Times New Roman" w:cs="Times New Roman"/>
          <w:color w:val="000000" w:themeColor="text1"/>
          <w:sz w:val="24"/>
          <w:szCs w:val="24"/>
        </w:rPr>
        <w:t xml:space="preserve"> quantitative data and </w:t>
      </w:r>
      <w:r w:rsidR="00F17E02">
        <w:rPr>
          <w:rFonts w:ascii="Times New Roman" w:hAnsi="Times New Roman" w:cs="Times New Roman"/>
          <w:color w:val="000000" w:themeColor="text1"/>
          <w:sz w:val="24"/>
          <w:szCs w:val="24"/>
        </w:rPr>
        <w:t>quantified</w:t>
      </w:r>
      <w:r w:rsidR="00F17E02" w:rsidRPr="0052242F">
        <w:rPr>
          <w:rFonts w:ascii="Times New Roman" w:hAnsi="Times New Roman" w:cs="Times New Roman"/>
          <w:color w:val="000000" w:themeColor="text1"/>
          <w:sz w:val="24"/>
          <w:szCs w:val="24"/>
        </w:rPr>
        <w:t xml:space="preserve"> qualitative data related to the policy environment, institutional framework, and PAs network</w:t>
      </w:r>
      <w:r w:rsidR="00F17E02">
        <w:rPr>
          <w:rFonts w:ascii="Times New Roman" w:hAnsi="Times New Roman" w:cs="Times New Roman"/>
          <w:color w:val="000000" w:themeColor="text1"/>
          <w:sz w:val="24"/>
          <w:szCs w:val="24"/>
        </w:rPr>
        <w:t xml:space="preserve"> of the DRC</w:t>
      </w:r>
      <w:r w:rsidR="00AA281F">
        <w:rPr>
          <w:rFonts w:ascii="Times New Roman" w:hAnsi="Times New Roman" w:cs="Times New Roman"/>
          <w:color w:val="000000" w:themeColor="text1"/>
          <w:sz w:val="24"/>
          <w:szCs w:val="24"/>
        </w:rPr>
        <w:t>’s</w:t>
      </w:r>
      <w:r w:rsidR="00F17E02">
        <w:rPr>
          <w:rFonts w:ascii="Times New Roman" w:hAnsi="Times New Roman" w:cs="Times New Roman"/>
          <w:color w:val="000000" w:themeColor="text1"/>
          <w:sz w:val="24"/>
          <w:szCs w:val="24"/>
        </w:rPr>
        <w:t>, Rwanda</w:t>
      </w:r>
      <w:r w:rsidR="00AA281F">
        <w:rPr>
          <w:rFonts w:ascii="Times New Roman" w:hAnsi="Times New Roman" w:cs="Times New Roman"/>
          <w:color w:val="000000" w:themeColor="text1"/>
          <w:sz w:val="24"/>
          <w:szCs w:val="24"/>
        </w:rPr>
        <w:t>’s</w:t>
      </w:r>
      <w:r w:rsidR="00F17E02">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and </w:t>
      </w:r>
      <w:r w:rsidR="00F17E02">
        <w:rPr>
          <w:rFonts w:ascii="Times New Roman" w:hAnsi="Times New Roman" w:cs="Times New Roman"/>
          <w:color w:val="000000" w:themeColor="text1"/>
          <w:sz w:val="24"/>
          <w:szCs w:val="24"/>
        </w:rPr>
        <w:t>Uganda</w:t>
      </w:r>
      <w:r w:rsidR="00AA281F" w:rsidRPr="00AA281F">
        <w:rPr>
          <w:rFonts w:ascii="Times New Roman" w:hAnsi="Times New Roman" w:cs="Times New Roman"/>
          <w:color w:val="000000" w:themeColor="text1"/>
          <w:sz w:val="24"/>
          <w:szCs w:val="24"/>
        </w:rPr>
        <w:t>’s PAs systems</w:t>
      </w:r>
      <w:r w:rsidR="00AA281F">
        <w:rPr>
          <w:rFonts w:ascii="Times New Roman" w:hAnsi="Times New Roman" w:cs="Times New Roman"/>
          <w:color w:val="000000" w:themeColor="text1"/>
          <w:sz w:val="24"/>
          <w:szCs w:val="24"/>
        </w:rPr>
        <w:t xml:space="preserve"> on one hand</w:t>
      </w:r>
      <w:r w:rsidR="00F17E02">
        <w:rPr>
          <w:rFonts w:ascii="Times New Roman" w:hAnsi="Times New Roman" w:cs="Times New Roman"/>
          <w:color w:val="000000" w:themeColor="text1"/>
          <w:sz w:val="24"/>
          <w:szCs w:val="24"/>
        </w:rPr>
        <w:t xml:space="preserve">, </w:t>
      </w:r>
      <w:r w:rsidR="00AA281F">
        <w:rPr>
          <w:rFonts w:ascii="Times New Roman" w:hAnsi="Times New Roman" w:cs="Times New Roman"/>
          <w:color w:val="000000" w:themeColor="text1"/>
          <w:sz w:val="24"/>
          <w:szCs w:val="24"/>
        </w:rPr>
        <w:t xml:space="preserve">and the USA’s PAs system on the other hand respectively </w:t>
      </w:r>
      <w:r w:rsidR="006D2F9B">
        <w:rPr>
          <w:rFonts w:ascii="Times New Roman" w:hAnsi="Times New Roman" w:cs="Times New Roman"/>
          <w:color w:val="000000" w:themeColor="text1"/>
          <w:sz w:val="24"/>
          <w:szCs w:val="24"/>
        </w:rPr>
        <w:t xml:space="preserve">namely </w:t>
      </w:r>
      <w:r>
        <w:rPr>
          <w:rFonts w:ascii="Times New Roman" w:hAnsi="Times New Roman" w:cs="Times New Roman"/>
          <w:color w:val="000000" w:themeColor="text1"/>
          <w:sz w:val="24"/>
          <w:szCs w:val="24"/>
        </w:rPr>
        <w:t xml:space="preserve">the first countries to adopt the </w:t>
      </w:r>
      <w:r w:rsidR="00AA281F">
        <w:rPr>
          <w:rFonts w:ascii="Times New Roman" w:hAnsi="Times New Roman" w:cs="Times New Roman"/>
          <w:color w:val="000000" w:themeColor="text1"/>
          <w:sz w:val="24"/>
          <w:szCs w:val="24"/>
        </w:rPr>
        <w:t>NP movement on the African continent</w:t>
      </w:r>
      <w:r w:rsidR="006D2F9B">
        <w:rPr>
          <w:rFonts w:ascii="Times New Roman" w:hAnsi="Times New Roman" w:cs="Times New Roman"/>
          <w:color w:val="000000" w:themeColor="text1"/>
          <w:sz w:val="24"/>
          <w:szCs w:val="24"/>
        </w:rPr>
        <w:t>, and the initiator of the NP movement</w:t>
      </w:r>
      <w:r w:rsidR="00F17E02" w:rsidRPr="0052242F">
        <w:rPr>
          <w:rFonts w:ascii="Times New Roman" w:hAnsi="Times New Roman" w:cs="Times New Roman"/>
          <w:color w:val="000000" w:themeColor="text1"/>
          <w:sz w:val="24"/>
          <w:szCs w:val="24"/>
        </w:rPr>
        <w:t>.</w:t>
      </w:r>
      <w:r w:rsidR="00F17E02">
        <w:rPr>
          <w:rFonts w:ascii="Times New Roman" w:hAnsi="Times New Roman" w:cs="Times New Roman"/>
          <w:color w:val="000000" w:themeColor="text1"/>
          <w:sz w:val="24"/>
          <w:szCs w:val="24"/>
        </w:rPr>
        <w:t xml:space="preserve"> The policy </w:t>
      </w:r>
      <w:r w:rsidR="006D2F9B">
        <w:rPr>
          <w:rFonts w:ascii="Times New Roman" w:hAnsi="Times New Roman" w:cs="Times New Roman"/>
          <w:color w:val="000000" w:themeColor="text1"/>
          <w:sz w:val="24"/>
          <w:szCs w:val="24"/>
        </w:rPr>
        <w:t xml:space="preserve">environment </w:t>
      </w:r>
      <w:r w:rsidR="00F17E02">
        <w:rPr>
          <w:rFonts w:ascii="Times New Roman" w:hAnsi="Times New Roman" w:cs="Times New Roman"/>
          <w:color w:val="000000" w:themeColor="text1"/>
          <w:sz w:val="24"/>
          <w:szCs w:val="24"/>
        </w:rPr>
        <w:t>was objectively evaluated bas</w:t>
      </w:r>
      <w:r w:rsidR="00F17E02" w:rsidRPr="00AB1486">
        <w:rPr>
          <w:rFonts w:ascii="Times New Roman" w:hAnsi="Times New Roman" w:cs="Times New Roman"/>
          <w:color w:val="000000" w:themeColor="text1"/>
          <w:sz w:val="24"/>
          <w:szCs w:val="24"/>
        </w:rPr>
        <w:t>ed on 4 specific criteria:</w:t>
      </w:r>
      <w:r w:rsidR="00AB1486" w:rsidRPr="00AB1486">
        <w:rPr>
          <w:rFonts w:ascii="Times New Roman" w:hAnsi="Times New Roman" w:cs="Times New Roman"/>
          <w:color w:val="000000" w:themeColor="text1"/>
          <w:sz w:val="24"/>
          <w:szCs w:val="24"/>
        </w:rPr>
        <w:t xml:space="preserve"> (1). </w:t>
      </w:r>
      <w:r w:rsidR="00AB1486" w:rsidRPr="00AB1486">
        <w:rPr>
          <w:rFonts w:ascii="Times New Roman" w:hAnsi="Times New Roman" w:cs="Times New Roman"/>
          <w:sz w:val="24"/>
          <w:szCs w:val="24"/>
        </w:rPr>
        <w:t xml:space="preserve">Comprehensiveness, </w:t>
      </w:r>
      <w:r w:rsidR="00AB1486" w:rsidRPr="00AB1486">
        <w:rPr>
          <w:rFonts w:ascii="Times New Roman" w:hAnsi="Times New Roman" w:cs="Times New Roman"/>
          <w:color w:val="000000" w:themeColor="text1"/>
          <w:sz w:val="24"/>
          <w:szCs w:val="24"/>
        </w:rPr>
        <w:t xml:space="preserve">(2). </w:t>
      </w:r>
      <w:r w:rsidR="00AB1486" w:rsidRPr="00AB1486">
        <w:rPr>
          <w:rFonts w:ascii="Times New Roman" w:hAnsi="Times New Roman" w:cs="Times New Roman"/>
          <w:sz w:val="24"/>
          <w:szCs w:val="24"/>
        </w:rPr>
        <w:t xml:space="preserve">Stability, </w:t>
      </w:r>
      <w:r w:rsidR="00AB1486" w:rsidRPr="00AB1486">
        <w:rPr>
          <w:rFonts w:ascii="Times New Roman" w:hAnsi="Times New Roman" w:cs="Times New Roman"/>
          <w:color w:val="000000" w:themeColor="text1"/>
          <w:sz w:val="24"/>
          <w:szCs w:val="24"/>
        </w:rPr>
        <w:t xml:space="preserve">(3). </w:t>
      </w:r>
      <w:r w:rsidR="00AB1486" w:rsidRPr="00AB1486">
        <w:rPr>
          <w:rFonts w:ascii="Times New Roman" w:hAnsi="Times New Roman" w:cs="Times New Roman"/>
          <w:sz w:val="24"/>
          <w:szCs w:val="24"/>
        </w:rPr>
        <w:t xml:space="preserve">Uniqueness, and </w:t>
      </w:r>
      <w:r w:rsidR="00AB1486" w:rsidRPr="00AB1486">
        <w:rPr>
          <w:rFonts w:ascii="Times New Roman" w:hAnsi="Times New Roman" w:cs="Times New Roman"/>
          <w:color w:val="000000" w:themeColor="text1"/>
          <w:sz w:val="24"/>
          <w:szCs w:val="24"/>
        </w:rPr>
        <w:t xml:space="preserve">(4). </w:t>
      </w:r>
      <w:r w:rsidR="00AB1486" w:rsidRPr="00AB1486">
        <w:rPr>
          <w:rFonts w:ascii="Times New Roman" w:hAnsi="Times New Roman" w:cs="Times New Roman"/>
          <w:sz w:val="24"/>
          <w:szCs w:val="24"/>
        </w:rPr>
        <w:t>Coherence.</w:t>
      </w:r>
      <w:r w:rsidR="00F17E02">
        <w:rPr>
          <w:rFonts w:ascii="Times New Roman" w:hAnsi="Times New Roman" w:cs="Times New Roman"/>
          <w:color w:val="000000" w:themeColor="text1"/>
          <w:sz w:val="24"/>
          <w:szCs w:val="24"/>
        </w:rPr>
        <w:t xml:space="preserve"> </w:t>
      </w:r>
      <w:bookmarkStart w:id="51" w:name="_Hlk135588643"/>
      <w:r w:rsidR="00F17E02">
        <w:rPr>
          <w:rFonts w:ascii="Times New Roman" w:hAnsi="Times New Roman" w:cs="Times New Roman"/>
          <w:color w:val="000000" w:themeColor="text1"/>
          <w:sz w:val="24"/>
          <w:szCs w:val="24"/>
        </w:rPr>
        <w:t>Institution</w:t>
      </w:r>
      <w:r w:rsidR="003C4BBD">
        <w:rPr>
          <w:rFonts w:ascii="Times New Roman" w:hAnsi="Times New Roman" w:cs="Times New Roman"/>
          <w:color w:val="000000" w:themeColor="text1"/>
          <w:sz w:val="24"/>
          <w:szCs w:val="24"/>
        </w:rPr>
        <w:t>al</w:t>
      </w:r>
      <w:r w:rsidR="00F17E02">
        <w:rPr>
          <w:rFonts w:ascii="Times New Roman" w:hAnsi="Times New Roman" w:cs="Times New Roman"/>
          <w:color w:val="000000" w:themeColor="text1"/>
          <w:sz w:val="24"/>
          <w:szCs w:val="24"/>
        </w:rPr>
        <w:t xml:space="preserve"> framework was assessed based on </w:t>
      </w:r>
      <w:r w:rsidR="00F87850">
        <w:rPr>
          <w:rFonts w:ascii="Times New Roman" w:hAnsi="Times New Roman" w:cs="Times New Roman"/>
          <w:color w:val="000000" w:themeColor="text1"/>
          <w:sz w:val="24"/>
          <w:szCs w:val="24"/>
        </w:rPr>
        <w:t>4</w:t>
      </w:r>
      <w:r w:rsidR="00F17E02">
        <w:rPr>
          <w:rFonts w:ascii="Times New Roman" w:hAnsi="Times New Roman" w:cs="Times New Roman"/>
          <w:color w:val="000000" w:themeColor="text1"/>
          <w:sz w:val="24"/>
          <w:szCs w:val="24"/>
        </w:rPr>
        <w:t xml:space="preserve"> specific criteria: (1). </w:t>
      </w:r>
      <w:r w:rsidR="00F87850">
        <w:rPr>
          <w:rFonts w:ascii="Times New Roman" w:hAnsi="Times New Roman" w:cs="Times New Roman"/>
          <w:color w:val="000000" w:themeColor="text1"/>
          <w:sz w:val="24"/>
          <w:szCs w:val="24"/>
        </w:rPr>
        <w:t>Senior</w:t>
      </w:r>
      <w:r w:rsidR="00A03D47">
        <w:rPr>
          <w:rFonts w:ascii="Times New Roman" w:hAnsi="Times New Roman" w:cs="Times New Roman"/>
          <w:color w:val="000000" w:themeColor="text1"/>
          <w:sz w:val="24"/>
          <w:szCs w:val="24"/>
        </w:rPr>
        <w:t xml:space="preserve">ity of conservation institutions, (2). </w:t>
      </w:r>
      <w:r w:rsidR="00F17E02">
        <w:rPr>
          <w:rFonts w:ascii="Times New Roman" w:hAnsi="Times New Roman" w:cs="Times New Roman"/>
          <w:color w:val="000000" w:themeColor="text1"/>
          <w:sz w:val="24"/>
          <w:szCs w:val="24"/>
        </w:rPr>
        <w:t>Stability of conservation institutions, (</w:t>
      </w:r>
      <w:r w:rsidR="00A03D47">
        <w:rPr>
          <w:rFonts w:ascii="Times New Roman" w:hAnsi="Times New Roman" w:cs="Times New Roman"/>
          <w:color w:val="000000" w:themeColor="text1"/>
          <w:sz w:val="24"/>
          <w:szCs w:val="24"/>
        </w:rPr>
        <w:t>3</w:t>
      </w:r>
      <w:r w:rsidR="00F17E02">
        <w:rPr>
          <w:rFonts w:ascii="Times New Roman" w:hAnsi="Times New Roman" w:cs="Times New Roman"/>
          <w:color w:val="000000" w:themeColor="text1"/>
          <w:sz w:val="24"/>
          <w:szCs w:val="24"/>
        </w:rPr>
        <w:t xml:space="preserve">). </w:t>
      </w:r>
      <w:r w:rsidR="00A03D47">
        <w:rPr>
          <w:rFonts w:ascii="Times New Roman" w:hAnsi="Times New Roman" w:cs="Times New Roman"/>
          <w:color w:val="000000" w:themeColor="text1"/>
          <w:sz w:val="24"/>
          <w:szCs w:val="24"/>
        </w:rPr>
        <w:t>Comprehensiveness</w:t>
      </w:r>
      <w:r w:rsidR="00F17E02">
        <w:rPr>
          <w:rFonts w:ascii="Times New Roman" w:hAnsi="Times New Roman" w:cs="Times New Roman"/>
          <w:color w:val="000000" w:themeColor="text1"/>
          <w:sz w:val="24"/>
          <w:szCs w:val="24"/>
        </w:rPr>
        <w:t xml:space="preserve"> of institutions</w:t>
      </w:r>
      <w:r w:rsidR="00A03D47">
        <w:rPr>
          <w:rFonts w:ascii="Times New Roman" w:hAnsi="Times New Roman" w:cs="Times New Roman"/>
          <w:color w:val="000000" w:themeColor="text1"/>
          <w:sz w:val="24"/>
          <w:szCs w:val="24"/>
        </w:rPr>
        <w:t>’</w:t>
      </w:r>
      <w:r w:rsidR="00F17E02">
        <w:rPr>
          <w:rFonts w:ascii="Times New Roman" w:hAnsi="Times New Roman" w:cs="Times New Roman"/>
          <w:color w:val="000000" w:themeColor="text1"/>
          <w:sz w:val="24"/>
          <w:szCs w:val="24"/>
        </w:rPr>
        <w:t xml:space="preserve"> vision to </w:t>
      </w:r>
      <w:r w:rsidR="00A03D47">
        <w:rPr>
          <w:rFonts w:ascii="Times New Roman" w:hAnsi="Times New Roman" w:cs="Times New Roman"/>
          <w:color w:val="000000" w:themeColor="text1"/>
          <w:sz w:val="24"/>
          <w:szCs w:val="24"/>
        </w:rPr>
        <w:t xml:space="preserve">various </w:t>
      </w:r>
      <w:r w:rsidR="00F17E02">
        <w:rPr>
          <w:rFonts w:ascii="Times New Roman" w:hAnsi="Times New Roman" w:cs="Times New Roman"/>
          <w:color w:val="000000" w:themeColor="text1"/>
          <w:sz w:val="24"/>
          <w:szCs w:val="24"/>
        </w:rPr>
        <w:t>conservation mission</w:t>
      </w:r>
      <w:r w:rsidR="00A03D47">
        <w:rPr>
          <w:rFonts w:ascii="Times New Roman" w:hAnsi="Times New Roman" w:cs="Times New Roman"/>
          <w:color w:val="000000" w:themeColor="text1"/>
          <w:sz w:val="24"/>
          <w:szCs w:val="24"/>
        </w:rPr>
        <w:t>s</w:t>
      </w:r>
      <w:r w:rsidR="00F17E02">
        <w:rPr>
          <w:rFonts w:ascii="Times New Roman" w:hAnsi="Times New Roman" w:cs="Times New Roman"/>
          <w:color w:val="000000" w:themeColor="text1"/>
          <w:sz w:val="24"/>
          <w:szCs w:val="24"/>
        </w:rPr>
        <w:t>, and (</w:t>
      </w:r>
      <w:r w:rsidR="00A03D47">
        <w:rPr>
          <w:rFonts w:ascii="Times New Roman" w:hAnsi="Times New Roman" w:cs="Times New Roman"/>
          <w:color w:val="000000" w:themeColor="text1"/>
          <w:sz w:val="24"/>
          <w:szCs w:val="24"/>
        </w:rPr>
        <w:t>4</w:t>
      </w:r>
      <w:r w:rsidR="00F17E02">
        <w:rPr>
          <w:rFonts w:ascii="Times New Roman" w:hAnsi="Times New Roman" w:cs="Times New Roman"/>
          <w:color w:val="000000" w:themeColor="text1"/>
          <w:sz w:val="24"/>
          <w:szCs w:val="24"/>
        </w:rPr>
        <w:t xml:space="preserve">). Exclusivity of institutions’ mission to conservation. </w:t>
      </w:r>
      <w:bookmarkEnd w:id="51"/>
      <w:r w:rsidR="00F17E02">
        <w:rPr>
          <w:rFonts w:ascii="Times New Roman" w:hAnsi="Times New Roman" w:cs="Times New Roman"/>
          <w:color w:val="000000" w:themeColor="text1"/>
          <w:sz w:val="24"/>
          <w:szCs w:val="24"/>
        </w:rPr>
        <w:t xml:space="preserve">The PAs network was evaluated based on 3 specific criteria: (1). PAs national coverage, (2). </w:t>
      </w:r>
      <w:r w:rsidR="00C223C4">
        <w:rPr>
          <w:rFonts w:ascii="Times New Roman" w:hAnsi="Times New Roman" w:cs="Times New Roman"/>
          <w:color w:val="000000" w:themeColor="text1"/>
          <w:sz w:val="24"/>
          <w:szCs w:val="24"/>
        </w:rPr>
        <w:t>Comprehensiveness</w:t>
      </w:r>
      <w:r w:rsidR="00F17E02">
        <w:rPr>
          <w:rFonts w:ascii="Times New Roman" w:hAnsi="Times New Roman" w:cs="Times New Roman"/>
          <w:color w:val="000000" w:themeColor="text1"/>
          <w:sz w:val="24"/>
          <w:szCs w:val="24"/>
        </w:rPr>
        <w:t xml:space="preserve"> of PAs categories, and (3). Trend of </w:t>
      </w:r>
      <w:r w:rsidR="00E51E31">
        <w:rPr>
          <w:rFonts w:ascii="Times New Roman" w:hAnsi="Times New Roman" w:cs="Times New Roman"/>
          <w:color w:val="000000" w:themeColor="text1"/>
          <w:sz w:val="24"/>
          <w:szCs w:val="24"/>
        </w:rPr>
        <w:t xml:space="preserve">establishment of new </w:t>
      </w:r>
      <w:r w:rsidR="00F17E02">
        <w:rPr>
          <w:rFonts w:ascii="Times New Roman" w:hAnsi="Times New Roman" w:cs="Times New Roman"/>
          <w:color w:val="000000" w:themeColor="text1"/>
          <w:sz w:val="24"/>
          <w:szCs w:val="24"/>
        </w:rPr>
        <w:t>PAs.</w:t>
      </w:r>
    </w:p>
    <w:p w:rsidR="004137D6" w:rsidRPr="00DA33D7" w:rsidRDefault="00F17E02" w:rsidP="00DA33D7">
      <w:pPr>
        <w:spacing w:line="240" w:lineRule="auto"/>
        <w:rPr>
          <w:rFonts w:ascii="Times New Roman" w:hAnsi="Times New Roman" w:cs="Times New Roman"/>
          <w:color w:val="000000" w:themeColor="text1"/>
          <w:sz w:val="24"/>
          <w:szCs w:val="24"/>
          <w:highlight w:val="yellow"/>
        </w:rPr>
      </w:pPr>
      <w:r w:rsidRPr="00224DBC">
        <w:rPr>
          <w:rFonts w:ascii="Times New Roman" w:hAnsi="Times New Roman" w:cs="Times New Roman"/>
          <w:color w:val="000000" w:themeColor="text1"/>
          <w:sz w:val="24"/>
          <w:szCs w:val="24"/>
        </w:rPr>
        <w:t xml:space="preserve">The figure </w:t>
      </w:r>
      <w:r w:rsidR="00A03D47" w:rsidRPr="00224DBC">
        <w:rPr>
          <w:rFonts w:ascii="Times New Roman" w:hAnsi="Times New Roman" w:cs="Times New Roman"/>
          <w:color w:val="000000" w:themeColor="text1"/>
          <w:sz w:val="24"/>
          <w:szCs w:val="24"/>
        </w:rPr>
        <w:t>4</w:t>
      </w:r>
      <w:r w:rsidR="00E51E31" w:rsidRPr="00224DBC">
        <w:rPr>
          <w:rFonts w:ascii="Times New Roman" w:hAnsi="Times New Roman" w:cs="Times New Roman"/>
          <w:color w:val="000000" w:themeColor="text1"/>
          <w:sz w:val="24"/>
          <w:szCs w:val="24"/>
        </w:rPr>
        <w:t>.1</w:t>
      </w:r>
      <w:r w:rsidRPr="00224DBC">
        <w:rPr>
          <w:rFonts w:ascii="Times New Roman" w:hAnsi="Times New Roman" w:cs="Times New Roman"/>
          <w:color w:val="000000" w:themeColor="text1"/>
          <w:sz w:val="24"/>
          <w:szCs w:val="24"/>
        </w:rPr>
        <w:t xml:space="preserve"> highlights a </w:t>
      </w:r>
      <w:r w:rsidR="00F45C2C" w:rsidRPr="00224DBC">
        <w:rPr>
          <w:rFonts w:ascii="Times New Roman" w:hAnsi="Times New Roman" w:cs="Times New Roman"/>
          <w:color w:val="000000" w:themeColor="text1"/>
          <w:sz w:val="24"/>
          <w:szCs w:val="24"/>
        </w:rPr>
        <w:t xml:space="preserve">relative comparison </w:t>
      </w:r>
      <w:r w:rsidRPr="00224DBC">
        <w:rPr>
          <w:rFonts w:ascii="Times New Roman" w:hAnsi="Times New Roman" w:cs="Times New Roman"/>
          <w:color w:val="000000" w:themeColor="text1"/>
          <w:sz w:val="24"/>
          <w:szCs w:val="24"/>
        </w:rPr>
        <w:t>o</w:t>
      </w:r>
      <w:r w:rsidR="00F45C2C" w:rsidRPr="00224DBC">
        <w:rPr>
          <w:rFonts w:ascii="Times New Roman" w:hAnsi="Times New Roman" w:cs="Times New Roman"/>
          <w:color w:val="000000" w:themeColor="text1"/>
          <w:sz w:val="24"/>
          <w:szCs w:val="24"/>
        </w:rPr>
        <w:t>f the</w:t>
      </w:r>
      <w:r w:rsidRPr="00224DBC">
        <w:rPr>
          <w:rFonts w:ascii="Times New Roman" w:hAnsi="Times New Roman" w:cs="Times New Roman"/>
          <w:color w:val="000000" w:themeColor="text1"/>
          <w:sz w:val="24"/>
          <w:szCs w:val="24"/>
        </w:rPr>
        <w:t xml:space="preserve"> conservation policy, </w:t>
      </w:r>
      <w:r w:rsidR="00F45C2C" w:rsidRPr="00224DBC">
        <w:rPr>
          <w:rFonts w:ascii="Times New Roman" w:hAnsi="Times New Roman" w:cs="Times New Roman"/>
          <w:color w:val="000000" w:themeColor="text1"/>
          <w:sz w:val="24"/>
          <w:szCs w:val="24"/>
        </w:rPr>
        <w:t xml:space="preserve">PAs managing </w:t>
      </w:r>
      <w:r w:rsidRPr="00224DBC">
        <w:rPr>
          <w:rFonts w:ascii="Times New Roman" w:hAnsi="Times New Roman" w:cs="Times New Roman"/>
          <w:color w:val="000000" w:themeColor="text1"/>
          <w:sz w:val="24"/>
          <w:szCs w:val="24"/>
        </w:rPr>
        <w:t>institutions, and PAs network for the four countries</w:t>
      </w:r>
      <w:r w:rsidR="00F45C2C" w:rsidRPr="00224DBC">
        <w:rPr>
          <w:rFonts w:ascii="Times New Roman" w:hAnsi="Times New Roman" w:cs="Times New Roman"/>
          <w:color w:val="000000" w:themeColor="text1"/>
          <w:sz w:val="24"/>
          <w:szCs w:val="24"/>
        </w:rPr>
        <w:t>, by means of Comprehensivenes</w:t>
      </w:r>
      <w:r w:rsidR="00102378">
        <w:rPr>
          <w:rFonts w:ascii="Times New Roman" w:hAnsi="Times New Roman" w:cs="Times New Roman"/>
          <w:color w:val="000000" w:themeColor="text1"/>
          <w:sz w:val="24"/>
          <w:szCs w:val="24"/>
        </w:rPr>
        <w:t>s</w:t>
      </w:r>
      <w:r w:rsidR="00F45C2C" w:rsidRPr="00224DBC">
        <w:rPr>
          <w:rFonts w:ascii="Times New Roman" w:hAnsi="Times New Roman" w:cs="Times New Roman"/>
          <w:color w:val="000000" w:themeColor="text1"/>
          <w:sz w:val="24"/>
          <w:szCs w:val="24"/>
        </w:rPr>
        <w:t>, Repeal, Duplication, and Contradiction index</w:t>
      </w:r>
      <w:r w:rsidR="00102378">
        <w:rPr>
          <w:rFonts w:ascii="Times New Roman" w:hAnsi="Times New Roman" w:cs="Times New Roman"/>
          <w:color w:val="000000" w:themeColor="text1"/>
          <w:sz w:val="24"/>
          <w:szCs w:val="24"/>
        </w:rPr>
        <w:t>es</w:t>
      </w:r>
      <w:r w:rsidR="00F45C2C" w:rsidRPr="00224DBC">
        <w:rPr>
          <w:rFonts w:ascii="Times New Roman" w:hAnsi="Times New Roman" w:cs="Times New Roman"/>
          <w:color w:val="000000" w:themeColor="text1"/>
          <w:sz w:val="24"/>
          <w:szCs w:val="24"/>
        </w:rPr>
        <w:t xml:space="preserve"> to </w:t>
      </w:r>
      <w:r w:rsidR="00224DBC" w:rsidRPr="00224DBC">
        <w:rPr>
          <w:rFonts w:ascii="Times New Roman" w:hAnsi="Times New Roman" w:cs="Times New Roman"/>
          <w:color w:val="000000" w:themeColor="text1"/>
          <w:sz w:val="24"/>
          <w:szCs w:val="24"/>
        </w:rPr>
        <w:t>evaluate</w:t>
      </w:r>
      <w:r w:rsidR="00F45C2C" w:rsidRPr="00224DBC">
        <w:rPr>
          <w:rFonts w:ascii="Times New Roman" w:hAnsi="Times New Roman" w:cs="Times New Roman"/>
          <w:color w:val="000000" w:themeColor="text1"/>
          <w:sz w:val="24"/>
          <w:szCs w:val="24"/>
        </w:rPr>
        <w:t xml:space="preserve"> </w:t>
      </w:r>
      <w:r w:rsidR="00224DBC" w:rsidRPr="00224DBC">
        <w:rPr>
          <w:rFonts w:ascii="Times New Roman" w:hAnsi="Times New Roman" w:cs="Times New Roman"/>
          <w:color w:val="000000" w:themeColor="text1"/>
          <w:sz w:val="24"/>
          <w:szCs w:val="24"/>
        </w:rPr>
        <w:t xml:space="preserve">Conservation policy </w:t>
      </w:r>
      <w:r w:rsidR="00102378" w:rsidRPr="00224DBC">
        <w:rPr>
          <w:rFonts w:ascii="Times New Roman" w:hAnsi="Times New Roman" w:cs="Times New Roman"/>
          <w:color w:val="000000" w:themeColor="text1"/>
          <w:sz w:val="24"/>
          <w:szCs w:val="24"/>
        </w:rPr>
        <w:t>environment</w:t>
      </w:r>
      <w:r w:rsidR="00102378">
        <w:rPr>
          <w:rFonts w:ascii="Times New Roman" w:hAnsi="Times New Roman" w:cs="Times New Roman"/>
          <w:color w:val="000000" w:themeColor="text1"/>
          <w:sz w:val="24"/>
          <w:szCs w:val="24"/>
        </w:rPr>
        <w:t>,</w:t>
      </w:r>
      <w:r w:rsidR="00102378" w:rsidRPr="00224DBC">
        <w:rPr>
          <w:rFonts w:ascii="Times New Roman" w:hAnsi="Times New Roman" w:cs="Times New Roman"/>
          <w:color w:val="000000" w:themeColor="text1"/>
          <w:sz w:val="24"/>
          <w:szCs w:val="24"/>
        </w:rPr>
        <w:t xml:space="preserve"> </w:t>
      </w:r>
      <w:r w:rsidR="00F87850">
        <w:rPr>
          <w:rFonts w:ascii="Times New Roman" w:hAnsi="Times New Roman" w:cs="Times New Roman"/>
          <w:color w:val="000000" w:themeColor="text1"/>
          <w:sz w:val="24"/>
          <w:szCs w:val="24"/>
        </w:rPr>
        <w:t>Senior</w:t>
      </w:r>
      <w:r w:rsidR="00102378" w:rsidRPr="00224DBC">
        <w:rPr>
          <w:rFonts w:ascii="Times New Roman" w:hAnsi="Times New Roman" w:cs="Times New Roman"/>
          <w:color w:val="000000" w:themeColor="text1"/>
          <w:sz w:val="24"/>
          <w:szCs w:val="24"/>
        </w:rPr>
        <w:t>ity</w:t>
      </w:r>
      <w:r w:rsidR="00224DBC" w:rsidRPr="00224DBC">
        <w:rPr>
          <w:rFonts w:ascii="Times New Roman" w:hAnsi="Times New Roman" w:cs="Times New Roman"/>
          <w:color w:val="000000" w:themeColor="text1"/>
          <w:sz w:val="24"/>
          <w:szCs w:val="24"/>
        </w:rPr>
        <w:t>, Stability, Comprehensiveness, and Exclusivity index</w:t>
      </w:r>
      <w:r w:rsidR="00102378">
        <w:rPr>
          <w:rFonts w:ascii="Times New Roman" w:hAnsi="Times New Roman" w:cs="Times New Roman"/>
          <w:color w:val="000000" w:themeColor="text1"/>
          <w:sz w:val="24"/>
          <w:szCs w:val="24"/>
        </w:rPr>
        <w:t>es</w:t>
      </w:r>
      <w:r w:rsidR="00224DBC" w:rsidRPr="00224DBC">
        <w:rPr>
          <w:rFonts w:ascii="Times New Roman" w:hAnsi="Times New Roman" w:cs="Times New Roman"/>
          <w:color w:val="000000" w:themeColor="text1"/>
          <w:sz w:val="24"/>
          <w:szCs w:val="24"/>
        </w:rPr>
        <w:t xml:space="preserve"> to evaluate PAs managing institutions</w:t>
      </w:r>
      <w:r w:rsidR="00102378">
        <w:rPr>
          <w:rFonts w:ascii="Times New Roman" w:hAnsi="Times New Roman" w:cs="Times New Roman"/>
          <w:color w:val="000000" w:themeColor="text1"/>
          <w:sz w:val="24"/>
          <w:szCs w:val="24"/>
        </w:rPr>
        <w:t xml:space="preserve">, and </w:t>
      </w:r>
      <w:r w:rsidR="00224DBC" w:rsidRPr="00224DBC">
        <w:rPr>
          <w:rFonts w:ascii="Times New Roman" w:hAnsi="Times New Roman" w:cs="Times New Roman"/>
          <w:color w:val="000000" w:themeColor="text1"/>
          <w:sz w:val="24"/>
          <w:szCs w:val="24"/>
        </w:rPr>
        <w:t>National coverage, Comprehensiveness, and establishment trend index</w:t>
      </w:r>
      <w:r w:rsidR="00102378">
        <w:rPr>
          <w:rFonts w:ascii="Times New Roman" w:hAnsi="Times New Roman" w:cs="Times New Roman"/>
          <w:color w:val="000000" w:themeColor="text1"/>
          <w:sz w:val="24"/>
          <w:szCs w:val="24"/>
        </w:rPr>
        <w:t>es</w:t>
      </w:r>
      <w:r w:rsidR="00224DBC" w:rsidRPr="00224DBC">
        <w:rPr>
          <w:rFonts w:ascii="Times New Roman" w:hAnsi="Times New Roman" w:cs="Times New Roman"/>
          <w:color w:val="000000" w:themeColor="text1"/>
          <w:sz w:val="24"/>
          <w:szCs w:val="24"/>
        </w:rPr>
        <w:t xml:space="preserve"> to assess PAs network</w:t>
      </w:r>
      <w:r w:rsidR="00224DBC" w:rsidRPr="00102378">
        <w:rPr>
          <w:rFonts w:ascii="Times New Roman" w:hAnsi="Times New Roman" w:cs="Times New Roman"/>
          <w:color w:val="000000" w:themeColor="text1"/>
          <w:sz w:val="24"/>
          <w:szCs w:val="24"/>
        </w:rPr>
        <w:t xml:space="preserve">. </w:t>
      </w:r>
      <w:r w:rsidR="004137D6" w:rsidRPr="00102378">
        <w:rPr>
          <w:rFonts w:ascii="Times New Roman" w:hAnsi="Times New Roman" w:cs="Times New Roman"/>
          <w:color w:val="000000" w:themeColor="text1"/>
          <w:sz w:val="24"/>
          <w:szCs w:val="24"/>
        </w:rPr>
        <w:t xml:space="preserve">From </w:t>
      </w:r>
      <w:r w:rsidR="00102378" w:rsidRPr="00102378">
        <w:rPr>
          <w:rFonts w:ascii="Times New Roman" w:hAnsi="Times New Roman" w:cs="Times New Roman"/>
          <w:color w:val="000000" w:themeColor="text1"/>
          <w:sz w:val="24"/>
          <w:szCs w:val="24"/>
        </w:rPr>
        <w:t>conservation</w:t>
      </w:r>
      <w:r w:rsidR="004137D6" w:rsidRPr="00102378">
        <w:rPr>
          <w:rFonts w:ascii="Times New Roman" w:hAnsi="Times New Roman" w:cs="Times New Roman"/>
          <w:color w:val="000000" w:themeColor="text1"/>
          <w:sz w:val="24"/>
          <w:szCs w:val="24"/>
        </w:rPr>
        <w:t xml:space="preserve"> policy perspective, this study has shown a huge contrast between the </w:t>
      </w:r>
      <w:r w:rsidR="00EC1B5A" w:rsidRPr="00102378">
        <w:rPr>
          <w:rFonts w:ascii="Times New Roman" w:hAnsi="Times New Roman" w:cs="Times New Roman"/>
          <w:color w:val="000000" w:themeColor="text1"/>
          <w:sz w:val="24"/>
          <w:szCs w:val="24"/>
        </w:rPr>
        <w:t>wealth and comprehensiveness</w:t>
      </w:r>
      <w:r w:rsidR="004137D6" w:rsidRPr="00102378">
        <w:rPr>
          <w:rFonts w:ascii="Times New Roman" w:hAnsi="Times New Roman" w:cs="Times New Roman"/>
          <w:color w:val="000000" w:themeColor="text1"/>
          <w:sz w:val="24"/>
          <w:szCs w:val="24"/>
        </w:rPr>
        <w:t xml:space="preserve"> of conservation policy instruments between the </w:t>
      </w:r>
      <w:r w:rsidR="0049336C" w:rsidRPr="00102378">
        <w:rPr>
          <w:rFonts w:ascii="Times New Roman" w:hAnsi="Times New Roman" w:cs="Times New Roman"/>
          <w:color w:val="000000" w:themeColor="text1"/>
          <w:sz w:val="24"/>
          <w:szCs w:val="24"/>
        </w:rPr>
        <w:t xml:space="preserve">USA </w:t>
      </w:r>
      <w:r w:rsidR="0049336C">
        <w:rPr>
          <w:rFonts w:ascii="Times New Roman" w:hAnsi="Times New Roman" w:cs="Times New Roman"/>
          <w:color w:val="000000" w:themeColor="text1"/>
          <w:sz w:val="24"/>
          <w:szCs w:val="24"/>
        </w:rPr>
        <w:t>(0.66)</w:t>
      </w:r>
      <w:r w:rsidR="004137D6" w:rsidRPr="00102378">
        <w:rPr>
          <w:rFonts w:ascii="Times New Roman" w:hAnsi="Times New Roman" w:cs="Times New Roman"/>
          <w:color w:val="000000" w:themeColor="text1"/>
          <w:sz w:val="24"/>
          <w:szCs w:val="24"/>
        </w:rPr>
        <w:t xml:space="preserve"> </w:t>
      </w:r>
      <w:r w:rsidR="00EC1B5A" w:rsidRPr="00102378">
        <w:rPr>
          <w:rFonts w:ascii="Times New Roman" w:hAnsi="Times New Roman" w:cs="Times New Roman"/>
          <w:color w:val="000000" w:themeColor="text1"/>
          <w:sz w:val="24"/>
          <w:szCs w:val="24"/>
        </w:rPr>
        <w:t>on one hand,</w:t>
      </w:r>
      <w:r w:rsidR="004137D6" w:rsidRPr="00102378">
        <w:rPr>
          <w:rFonts w:ascii="Times New Roman" w:hAnsi="Times New Roman" w:cs="Times New Roman"/>
          <w:color w:val="000000" w:themeColor="text1"/>
          <w:sz w:val="24"/>
          <w:szCs w:val="24"/>
        </w:rPr>
        <w:t xml:space="preserve"> and the </w:t>
      </w:r>
      <w:r w:rsidR="0049336C" w:rsidRPr="00102378">
        <w:rPr>
          <w:rFonts w:ascii="Times New Roman" w:hAnsi="Times New Roman" w:cs="Times New Roman"/>
          <w:color w:val="000000" w:themeColor="text1"/>
          <w:sz w:val="24"/>
          <w:szCs w:val="24"/>
        </w:rPr>
        <w:t>three African countries (DRC, Rwanda, and Uganda)</w:t>
      </w:r>
      <w:r w:rsidR="0049336C">
        <w:rPr>
          <w:rFonts w:ascii="Times New Roman" w:hAnsi="Times New Roman" w:cs="Times New Roman"/>
          <w:color w:val="000000" w:themeColor="text1"/>
          <w:sz w:val="24"/>
          <w:szCs w:val="24"/>
        </w:rPr>
        <w:t xml:space="preserve"> (0.12, 0.12, and 0.10 respectively)</w:t>
      </w:r>
      <w:r w:rsidR="0049336C" w:rsidRPr="00102378">
        <w:rPr>
          <w:rFonts w:ascii="Times New Roman" w:hAnsi="Times New Roman" w:cs="Times New Roman"/>
          <w:color w:val="000000" w:themeColor="text1"/>
          <w:sz w:val="24"/>
          <w:szCs w:val="24"/>
        </w:rPr>
        <w:t xml:space="preserve"> </w:t>
      </w:r>
      <w:r w:rsidR="00EC1B5A" w:rsidRPr="00102378">
        <w:rPr>
          <w:rFonts w:ascii="Times New Roman" w:hAnsi="Times New Roman" w:cs="Times New Roman"/>
          <w:color w:val="000000" w:themeColor="text1"/>
          <w:sz w:val="24"/>
          <w:szCs w:val="24"/>
        </w:rPr>
        <w:t>on the other hand</w:t>
      </w:r>
      <w:r w:rsidR="004137D6" w:rsidRPr="00102378">
        <w:rPr>
          <w:rFonts w:ascii="Times New Roman" w:hAnsi="Times New Roman" w:cs="Times New Roman"/>
          <w:color w:val="000000" w:themeColor="text1"/>
          <w:sz w:val="24"/>
          <w:szCs w:val="24"/>
        </w:rPr>
        <w:t>.</w:t>
      </w:r>
      <w:r w:rsidR="00EC1B5A" w:rsidRPr="00102378">
        <w:rPr>
          <w:rFonts w:ascii="Times New Roman" w:hAnsi="Times New Roman" w:cs="Times New Roman"/>
          <w:color w:val="000000" w:themeColor="text1"/>
          <w:sz w:val="24"/>
          <w:szCs w:val="24"/>
        </w:rPr>
        <w:t xml:space="preserve"> While evidence suggests that widespread legal changes undermine PAs durability and efficacy </w:t>
      </w:r>
      <w:r w:rsidR="00EC1B5A" w:rsidRPr="00102378">
        <w:rPr>
          <w:rFonts w:ascii="Times New Roman" w:hAnsi="Times New Roman" w:cs="Times New Roman"/>
          <w:color w:val="000000" w:themeColor="text1"/>
          <w:sz w:val="24"/>
          <w:szCs w:val="24"/>
        </w:rPr>
        <w:fldChar w:fldCharType="begin" w:fldLock="1"/>
      </w:r>
      <w:r w:rsidR="00EC1B5A" w:rsidRPr="00102378">
        <w:rPr>
          <w:rFonts w:ascii="Times New Roman" w:hAnsi="Times New Roman" w:cs="Times New Roman"/>
          <w:color w:val="000000" w:themeColor="text1"/>
          <w:sz w:val="24"/>
          <w:szCs w:val="24"/>
        </w:rPr>
        <w:instrText>ADDIN CSL_CITATION {"citationItems":[{"id":"ITEM-1","itemData":{"DOI":"10.1126/science.aau5525","ISSN":"10959203","PMID":"31147519","abstract":"Protected areas are intended to safeguard biodiversity in perpetuity, yet evidence suggests that widespread legal changes undermine protected area durability and efficacy. We documented these legal changes-protected area downgrading, downsizing, and degazettement (PADDD) events-in the United States and Amazonian countries and compiled available data globally. Governments of the United States and Amazonian countries enacted 269 and 440 PADDD events, respectively. Between 1892 and 2018, 73 countries enacted 3749 PADDD events, removing 519,857 square kilometers from protection and tempering regulations in an additional 1,659,972 square kilometers; 78% of events were enacted since 2000. Most PADDD events (62%) are associated with industrial-scale resource extraction and development, suggesting that PADDD may compromise biodiversity conservation objectives. Strategic policy responses are needed to address PADDD and sustain effective protected areas.","author":[{"dropping-particle":"","family":"Kroner","given":"Golden Rachel E.","non-dropping-particle":"","parse-names":false,"suffix":""},{"dropping-particle":"","family":"Qin","given":"Siyu","non-dropping-particle":"","parse-names":false,"suffix":""},{"dropping-particle":"","family":"Cook","given":"Carly N.","non-dropping-particle":"","parse-names":false,"suffix":""},{"dropping-particle":"","family":"Krithivasan","given":"Roopa","non-dropping-particle":"","parse-names":false,"suffix":""},{"dropping-particle":"","family":"Pack","given":"Shalynn M.","non-dropping-particle":"","parse-names":false,"suffix":""},{"dropping-particle":"","family":"Bonilla","given":"Oscar D.","non-dropping-particle":"","parse-names":false,"suffix":""},{"dropping-particle":"","family":"Cort-Kansinally","given":"Kerry Anne","non-dropping-particle":"","parse-names":false,"suffix":""},{"dropping-particle":"","family":"Coutinho","given":"Bruno","non-dropping-particle":"","parse-names":false,"suffix":""},{"dropping-particle":"","family":"Feng","given":"Mingmin","non-dropping-particle":"","parse-names":false,"suffix":""},{"dropping-particle":"","family":"Garcia","given":"Maria Isabel Martínez","non-dropping-particle":"","parse-names":false,"suffix":""},{"dropping-particle":"","family":"He","given":"Yifan","non-dropping-particle":"","parse-names":false,"suffix":""},{"dropping-particle":"","family":"Kennedy","given":"Chris J.","non-dropping-particle":"","parse-names":false,"suffix":""},{"dropping-particle":"","family":"Lebreton","given":"Clotilde","non-dropping-particle":"","parse-names":false,"suffix":""},{"dropping-particle":"","family":"Ledezma","given":"Juan Carlos","non-dropping-particle":"","parse-names":false,"suffix":""},{"dropping-particle":"","family":"Lovejoy","given":"Thomas E.","non-dropping-particle":"","parse-names":false,"suffix":""},{"dropping-particle":"","family":"Luther","given":"David A.","non-dropping-particle":"","parse-names":false,"suffix":""},{"dropping-particle":"","family":"Parmanand","given":"Yohan","non-dropping-particle":"","parse-names":false,"suffix":""},{"dropping-particle":"","family":"Ruíz-Agudelo","given":"César Augusto","non-dropping-particle":"","parse-names":false,"suffix":""},{"dropping-particle":"","family":"Yerena","given":"Edgard","non-dropping-particle":"","parse-names":false,"suffix":""},{"dropping-particle":"","family":"Zambrano","given":"Vilisa Morón","non-dropping-particle":"","parse-names":false,"suffix":""},{"dropping-particle":"","family":"Mascia","given":"Michael B.","non-dropping-particle":"","parse-names":false,"suffix":""}],"container-title":"Science","id":"ITEM-1","issue":"6443","issued":{"date-parts":[["2019"]]},"page":"881-886","title":"The uncertain future of protected lands and waters","type":"article-journal","volume":"364"},"uris":["http://www.mendeley.com/documents/?uuid=f48ef532-eeaa-47e4-b83a-ee3ad1b70ef6"]}],"mendeley":{"formattedCitation":"(Kroner &lt;i&gt;et al.&lt;/i&gt;, 2019)","plainTextFormattedCitation":"(Kroner et al., 2019)","previouslyFormattedCitation":"(Kroner &lt;i&gt;et al.&lt;/i&gt;, 2019)"},"properties":{"noteIndex":0},"schema":"https://github.com/citation-style-language/schema/raw/master/csl-citation.json"}</w:instrText>
      </w:r>
      <w:r w:rsidR="00EC1B5A" w:rsidRPr="00102378">
        <w:rPr>
          <w:rFonts w:ascii="Times New Roman" w:hAnsi="Times New Roman" w:cs="Times New Roman"/>
          <w:color w:val="000000" w:themeColor="text1"/>
          <w:sz w:val="24"/>
          <w:szCs w:val="24"/>
        </w:rPr>
        <w:fldChar w:fldCharType="separate"/>
      </w:r>
      <w:r w:rsidR="00EC1B5A" w:rsidRPr="00102378">
        <w:rPr>
          <w:rFonts w:ascii="Times New Roman" w:hAnsi="Times New Roman" w:cs="Times New Roman"/>
          <w:noProof/>
          <w:color w:val="000000" w:themeColor="text1"/>
          <w:sz w:val="24"/>
          <w:szCs w:val="24"/>
        </w:rPr>
        <w:t xml:space="preserve">(Kroner </w:t>
      </w:r>
      <w:r w:rsidR="00EC1B5A" w:rsidRPr="00102378">
        <w:rPr>
          <w:rFonts w:ascii="Times New Roman" w:hAnsi="Times New Roman" w:cs="Times New Roman"/>
          <w:i/>
          <w:noProof/>
          <w:color w:val="000000" w:themeColor="text1"/>
          <w:sz w:val="24"/>
          <w:szCs w:val="24"/>
        </w:rPr>
        <w:t>et al.</w:t>
      </w:r>
      <w:r w:rsidR="00EC1B5A" w:rsidRPr="00102378">
        <w:rPr>
          <w:rFonts w:ascii="Times New Roman" w:hAnsi="Times New Roman" w:cs="Times New Roman"/>
          <w:noProof/>
          <w:color w:val="000000" w:themeColor="text1"/>
          <w:sz w:val="24"/>
          <w:szCs w:val="24"/>
        </w:rPr>
        <w:t>, 2019)</w:t>
      </w:r>
      <w:r w:rsidR="00EC1B5A" w:rsidRPr="00102378">
        <w:rPr>
          <w:rFonts w:ascii="Times New Roman" w:hAnsi="Times New Roman" w:cs="Times New Roman"/>
          <w:color w:val="000000" w:themeColor="text1"/>
          <w:sz w:val="24"/>
          <w:szCs w:val="24"/>
        </w:rPr>
        <w:fldChar w:fldCharType="end"/>
      </w:r>
      <w:r w:rsidR="00EC1B5A" w:rsidRPr="00102378">
        <w:rPr>
          <w:rFonts w:ascii="Times New Roman" w:hAnsi="Times New Roman" w:cs="Times New Roman"/>
          <w:color w:val="000000" w:themeColor="text1"/>
          <w:sz w:val="24"/>
          <w:szCs w:val="24"/>
        </w:rPr>
        <w:t>,</w:t>
      </w:r>
      <w:r w:rsidR="00102378">
        <w:rPr>
          <w:rFonts w:ascii="Times New Roman" w:hAnsi="Times New Roman" w:cs="Times New Roman"/>
          <w:color w:val="000000" w:themeColor="text1"/>
          <w:sz w:val="24"/>
          <w:szCs w:val="24"/>
        </w:rPr>
        <w:t xml:space="preserve"> the conservation policy environment of the </w:t>
      </w:r>
      <w:r w:rsidR="00B0510D">
        <w:rPr>
          <w:rFonts w:ascii="Times New Roman" w:hAnsi="Times New Roman" w:cs="Times New Roman"/>
          <w:color w:val="000000" w:themeColor="text1"/>
          <w:sz w:val="24"/>
          <w:szCs w:val="24"/>
        </w:rPr>
        <w:t xml:space="preserve">DRC, Rwanda, and Uganda </w:t>
      </w:r>
      <w:r w:rsidR="00102378">
        <w:rPr>
          <w:rFonts w:ascii="Times New Roman" w:hAnsi="Times New Roman" w:cs="Times New Roman"/>
          <w:color w:val="000000" w:themeColor="text1"/>
          <w:sz w:val="24"/>
          <w:szCs w:val="24"/>
        </w:rPr>
        <w:t xml:space="preserve">is characterised by </w:t>
      </w:r>
      <w:r w:rsidR="00014B5B">
        <w:rPr>
          <w:rFonts w:ascii="Times New Roman" w:hAnsi="Times New Roman" w:cs="Times New Roman"/>
          <w:color w:val="000000" w:themeColor="text1"/>
          <w:sz w:val="24"/>
          <w:szCs w:val="24"/>
        </w:rPr>
        <w:t>frequent amendments</w:t>
      </w:r>
      <w:r w:rsidR="0049336C">
        <w:rPr>
          <w:rFonts w:ascii="Times New Roman" w:hAnsi="Times New Roman" w:cs="Times New Roman"/>
          <w:color w:val="000000" w:themeColor="text1"/>
          <w:sz w:val="24"/>
          <w:szCs w:val="24"/>
        </w:rPr>
        <w:t xml:space="preserve"> (</w:t>
      </w:r>
      <w:r w:rsidR="00B0510D">
        <w:rPr>
          <w:rFonts w:ascii="Times New Roman" w:hAnsi="Times New Roman" w:cs="Times New Roman"/>
          <w:color w:val="000000" w:themeColor="text1"/>
          <w:sz w:val="24"/>
          <w:szCs w:val="24"/>
        </w:rPr>
        <w:t>0.44, 0.25, and 0.29</w:t>
      </w:r>
      <w:r w:rsidR="0049336C">
        <w:rPr>
          <w:rFonts w:ascii="Times New Roman" w:hAnsi="Times New Roman" w:cs="Times New Roman"/>
          <w:color w:val="000000" w:themeColor="text1"/>
          <w:sz w:val="24"/>
          <w:szCs w:val="24"/>
        </w:rPr>
        <w:t>)</w:t>
      </w:r>
      <w:r w:rsidR="00014B5B">
        <w:rPr>
          <w:rFonts w:ascii="Times New Roman" w:hAnsi="Times New Roman" w:cs="Times New Roman"/>
          <w:color w:val="000000" w:themeColor="text1"/>
          <w:sz w:val="24"/>
          <w:szCs w:val="24"/>
        </w:rPr>
        <w:t>, higher duplication of the same goals</w:t>
      </w:r>
      <w:r w:rsidR="00B0510D">
        <w:rPr>
          <w:rFonts w:ascii="Times New Roman" w:hAnsi="Times New Roman" w:cs="Times New Roman"/>
          <w:color w:val="000000" w:themeColor="text1"/>
          <w:sz w:val="24"/>
          <w:szCs w:val="24"/>
        </w:rPr>
        <w:t xml:space="preserve"> (0.34, 034, and 0.28)</w:t>
      </w:r>
      <w:r w:rsidR="00014B5B">
        <w:rPr>
          <w:rFonts w:ascii="Times New Roman" w:hAnsi="Times New Roman" w:cs="Times New Roman"/>
          <w:color w:val="000000" w:themeColor="text1"/>
          <w:sz w:val="24"/>
          <w:szCs w:val="24"/>
        </w:rPr>
        <w:t xml:space="preserve"> and more cases of conflicting purposes </w:t>
      </w:r>
      <w:r w:rsidR="00B0510D">
        <w:rPr>
          <w:rFonts w:ascii="Times New Roman" w:hAnsi="Times New Roman" w:cs="Times New Roman"/>
          <w:color w:val="000000" w:themeColor="text1"/>
          <w:sz w:val="24"/>
          <w:szCs w:val="24"/>
        </w:rPr>
        <w:t xml:space="preserve">(0.21, 0.32, and 0.42) </w:t>
      </w:r>
      <w:r w:rsidR="00014B5B" w:rsidRPr="004E4A39">
        <w:rPr>
          <w:rFonts w:ascii="Times New Roman" w:hAnsi="Times New Roman" w:cs="Times New Roman"/>
          <w:color w:val="000000" w:themeColor="text1"/>
          <w:sz w:val="24"/>
          <w:szCs w:val="24"/>
        </w:rPr>
        <w:t>among their various conservation policy statements compared to the</w:t>
      </w:r>
      <w:r w:rsidR="002A5BED" w:rsidRPr="004E4A39">
        <w:rPr>
          <w:rFonts w:ascii="Times New Roman" w:hAnsi="Times New Roman" w:cs="Times New Roman"/>
          <w:color w:val="000000" w:themeColor="text1"/>
          <w:sz w:val="24"/>
          <w:szCs w:val="24"/>
        </w:rPr>
        <w:t>ir USA’s counterpart</w:t>
      </w:r>
      <w:r w:rsidR="00B0510D">
        <w:rPr>
          <w:rFonts w:ascii="Times New Roman" w:hAnsi="Times New Roman" w:cs="Times New Roman"/>
          <w:color w:val="000000" w:themeColor="text1"/>
          <w:sz w:val="24"/>
          <w:szCs w:val="24"/>
        </w:rPr>
        <w:t xml:space="preserve"> (0.02, 0.04, and 0.04)</w:t>
      </w:r>
      <w:r w:rsidR="00014B5B" w:rsidRPr="004E4A39">
        <w:rPr>
          <w:rFonts w:ascii="Times New Roman" w:hAnsi="Times New Roman" w:cs="Times New Roman"/>
          <w:color w:val="000000" w:themeColor="text1"/>
          <w:sz w:val="24"/>
          <w:szCs w:val="24"/>
        </w:rPr>
        <w:t>.</w:t>
      </w:r>
      <w:r w:rsidR="00EC1B5A" w:rsidRPr="004E4A39">
        <w:rPr>
          <w:rFonts w:ascii="Times New Roman" w:hAnsi="Times New Roman" w:cs="Times New Roman"/>
          <w:color w:val="000000" w:themeColor="text1"/>
          <w:sz w:val="24"/>
          <w:szCs w:val="24"/>
        </w:rPr>
        <w:t xml:space="preserve"> </w:t>
      </w:r>
      <w:r w:rsidR="004E4A39" w:rsidRPr="00AD5441">
        <w:rPr>
          <w:rFonts w:ascii="Times New Roman" w:hAnsi="Times New Roman" w:cs="Times New Roman"/>
          <w:color w:val="000000" w:themeColor="text1"/>
          <w:sz w:val="24"/>
          <w:szCs w:val="24"/>
        </w:rPr>
        <w:t>When it comes to managing institutions, all the four countries (DRC, Rwanda, Uganda, and the USA) have a single-centralised institution whose attributions cover the management of PAs. However, w</w:t>
      </w:r>
      <w:r w:rsidR="002A5BED" w:rsidRPr="00AD5441">
        <w:rPr>
          <w:rFonts w:ascii="Times New Roman" w:hAnsi="Times New Roman" w:cs="Times New Roman"/>
          <w:color w:val="000000" w:themeColor="text1"/>
          <w:sz w:val="24"/>
          <w:szCs w:val="24"/>
        </w:rPr>
        <w:t xml:space="preserve">hile </w:t>
      </w:r>
      <w:r w:rsidR="00EC1B5A" w:rsidRPr="00AD5441">
        <w:rPr>
          <w:rFonts w:ascii="Times New Roman" w:hAnsi="Times New Roman" w:cs="Times New Roman"/>
          <w:color w:val="000000" w:themeColor="text1"/>
          <w:sz w:val="24"/>
          <w:szCs w:val="24"/>
        </w:rPr>
        <w:t xml:space="preserve">Conservation </w:t>
      </w:r>
      <w:r w:rsidR="004E4A39" w:rsidRPr="00AD5441">
        <w:rPr>
          <w:rFonts w:ascii="Times New Roman" w:hAnsi="Times New Roman" w:cs="Times New Roman"/>
          <w:color w:val="000000" w:themeColor="text1"/>
          <w:sz w:val="24"/>
          <w:szCs w:val="24"/>
        </w:rPr>
        <w:t>i</w:t>
      </w:r>
      <w:r w:rsidR="00EC1B5A" w:rsidRPr="00AD5441">
        <w:rPr>
          <w:rFonts w:ascii="Times New Roman" w:hAnsi="Times New Roman" w:cs="Times New Roman"/>
          <w:color w:val="000000" w:themeColor="text1"/>
          <w:sz w:val="24"/>
          <w:szCs w:val="24"/>
        </w:rPr>
        <w:t xml:space="preserve">nstitutional framework </w:t>
      </w:r>
      <w:r w:rsidR="002A5BED" w:rsidRPr="00AD5441">
        <w:rPr>
          <w:rFonts w:ascii="Times New Roman" w:hAnsi="Times New Roman" w:cs="Times New Roman"/>
          <w:color w:val="000000" w:themeColor="text1"/>
          <w:sz w:val="24"/>
          <w:szCs w:val="24"/>
        </w:rPr>
        <w:t xml:space="preserve">of the USA has </w:t>
      </w:r>
      <w:r w:rsidR="00053E38" w:rsidRPr="00AD5441">
        <w:rPr>
          <w:rFonts w:ascii="Times New Roman" w:hAnsi="Times New Roman" w:cs="Times New Roman"/>
          <w:color w:val="000000" w:themeColor="text1"/>
          <w:sz w:val="24"/>
          <w:szCs w:val="24"/>
        </w:rPr>
        <w:t xml:space="preserve">only </w:t>
      </w:r>
      <w:r w:rsidR="002A5BED" w:rsidRPr="00AD5441">
        <w:rPr>
          <w:rFonts w:ascii="Times New Roman" w:hAnsi="Times New Roman" w:cs="Times New Roman"/>
          <w:color w:val="000000" w:themeColor="text1"/>
          <w:sz w:val="24"/>
          <w:szCs w:val="24"/>
        </w:rPr>
        <w:t xml:space="preserve">a </w:t>
      </w:r>
      <w:r w:rsidR="00053E38" w:rsidRPr="00AD5441">
        <w:rPr>
          <w:rFonts w:ascii="Times New Roman" w:hAnsi="Times New Roman" w:cs="Times New Roman"/>
          <w:color w:val="000000" w:themeColor="text1"/>
          <w:sz w:val="24"/>
          <w:szCs w:val="24"/>
        </w:rPr>
        <w:t>slightly higher</w:t>
      </w:r>
      <w:r w:rsidR="002A5BED" w:rsidRPr="00AD5441">
        <w:rPr>
          <w:rFonts w:ascii="Times New Roman" w:hAnsi="Times New Roman" w:cs="Times New Roman"/>
          <w:color w:val="000000" w:themeColor="text1"/>
          <w:sz w:val="24"/>
          <w:szCs w:val="24"/>
        </w:rPr>
        <w:t xml:space="preserve"> level of seniority</w:t>
      </w:r>
      <w:r w:rsidR="00F96F39">
        <w:rPr>
          <w:rFonts w:ascii="Times New Roman" w:hAnsi="Times New Roman" w:cs="Times New Roman"/>
          <w:color w:val="000000" w:themeColor="text1"/>
          <w:sz w:val="24"/>
          <w:szCs w:val="24"/>
        </w:rPr>
        <w:t xml:space="preserve"> (0.28)</w:t>
      </w:r>
      <w:r w:rsidR="00053E38" w:rsidRPr="00AD5441">
        <w:rPr>
          <w:rFonts w:ascii="Times New Roman" w:hAnsi="Times New Roman" w:cs="Times New Roman"/>
          <w:color w:val="000000" w:themeColor="text1"/>
          <w:sz w:val="24"/>
          <w:szCs w:val="24"/>
        </w:rPr>
        <w:t xml:space="preserve"> compared to </w:t>
      </w:r>
      <w:r w:rsidR="004E4A39" w:rsidRPr="00AD5441">
        <w:rPr>
          <w:rFonts w:ascii="Times New Roman" w:hAnsi="Times New Roman" w:cs="Times New Roman"/>
          <w:color w:val="000000" w:themeColor="text1"/>
          <w:sz w:val="24"/>
          <w:szCs w:val="24"/>
        </w:rPr>
        <w:t xml:space="preserve">that of </w:t>
      </w:r>
      <w:r w:rsidR="00F96F39">
        <w:rPr>
          <w:rFonts w:ascii="Times New Roman" w:hAnsi="Times New Roman" w:cs="Times New Roman"/>
          <w:color w:val="000000" w:themeColor="text1"/>
          <w:sz w:val="24"/>
          <w:szCs w:val="24"/>
        </w:rPr>
        <w:t>DRC, Rwanda, and Uganda (0.24, 0.24, 0.25)</w:t>
      </w:r>
      <w:r w:rsidR="00053E38" w:rsidRPr="00AD5441">
        <w:rPr>
          <w:rFonts w:ascii="Times New Roman" w:hAnsi="Times New Roman" w:cs="Times New Roman"/>
          <w:color w:val="000000" w:themeColor="text1"/>
          <w:sz w:val="24"/>
          <w:szCs w:val="24"/>
        </w:rPr>
        <w:t>, it</w:t>
      </w:r>
      <w:r w:rsidR="002A5BED" w:rsidRPr="00AD5441">
        <w:rPr>
          <w:rFonts w:ascii="Times New Roman" w:hAnsi="Times New Roman" w:cs="Times New Roman"/>
          <w:color w:val="000000" w:themeColor="text1"/>
          <w:sz w:val="24"/>
          <w:szCs w:val="24"/>
        </w:rPr>
        <w:t xml:space="preserve"> </w:t>
      </w:r>
      <w:r w:rsidR="004137D6" w:rsidRPr="00AD5441">
        <w:rPr>
          <w:rFonts w:ascii="Times New Roman" w:hAnsi="Times New Roman" w:cs="Times New Roman"/>
          <w:color w:val="000000" w:themeColor="text1"/>
          <w:sz w:val="24"/>
          <w:szCs w:val="24"/>
        </w:rPr>
        <w:t>ha</w:t>
      </w:r>
      <w:r w:rsidR="00EC1B5A" w:rsidRPr="00AD5441">
        <w:rPr>
          <w:rFonts w:ascii="Times New Roman" w:hAnsi="Times New Roman" w:cs="Times New Roman"/>
          <w:color w:val="000000" w:themeColor="text1"/>
          <w:sz w:val="24"/>
          <w:szCs w:val="24"/>
        </w:rPr>
        <w:t>s</w:t>
      </w:r>
      <w:r w:rsidR="004137D6" w:rsidRPr="00AD5441">
        <w:rPr>
          <w:rFonts w:ascii="Times New Roman" w:hAnsi="Times New Roman" w:cs="Times New Roman"/>
          <w:color w:val="000000" w:themeColor="text1"/>
          <w:sz w:val="24"/>
          <w:szCs w:val="24"/>
        </w:rPr>
        <w:t xml:space="preserve"> been </w:t>
      </w:r>
      <w:r w:rsidR="00AD5441" w:rsidRPr="00AD5441">
        <w:rPr>
          <w:rFonts w:ascii="Times New Roman" w:hAnsi="Times New Roman" w:cs="Times New Roman"/>
          <w:color w:val="000000" w:themeColor="text1"/>
          <w:sz w:val="24"/>
          <w:szCs w:val="24"/>
        </w:rPr>
        <w:t xml:space="preserve">distinctively </w:t>
      </w:r>
      <w:r w:rsidR="004137D6" w:rsidRPr="00AD5441">
        <w:rPr>
          <w:rFonts w:ascii="Times New Roman" w:hAnsi="Times New Roman" w:cs="Times New Roman"/>
          <w:color w:val="000000" w:themeColor="text1"/>
          <w:sz w:val="24"/>
          <w:szCs w:val="24"/>
        </w:rPr>
        <w:t>characterised by</w:t>
      </w:r>
      <w:r w:rsidR="00053E38" w:rsidRPr="00AD5441">
        <w:rPr>
          <w:rFonts w:ascii="Times New Roman" w:hAnsi="Times New Roman" w:cs="Times New Roman"/>
          <w:color w:val="000000" w:themeColor="text1"/>
          <w:sz w:val="24"/>
          <w:szCs w:val="24"/>
        </w:rPr>
        <w:t xml:space="preserve"> higher </w:t>
      </w:r>
      <w:r w:rsidR="00C64D03" w:rsidRPr="00AD5441">
        <w:rPr>
          <w:rFonts w:ascii="Times New Roman" w:hAnsi="Times New Roman" w:cs="Times New Roman"/>
          <w:color w:val="000000" w:themeColor="text1"/>
          <w:sz w:val="24"/>
          <w:szCs w:val="24"/>
        </w:rPr>
        <w:t>stability</w:t>
      </w:r>
      <w:r w:rsidR="00F96F39">
        <w:rPr>
          <w:rFonts w:ascii="Times New Roman" w:hAnsi="Times New Roman" w:cs="Times New Roman"/>
          <w:color w:val="000000" w:themeColor="text1"/>
          <w:sz w:val="24"/>
          <w:szCs w:val="24"/>
        </w:rPr>
        <w:t xml:space="preserve"> (0.50)</w:t>
      </w:r>
      <w:r w:rsidR="004137D6" w:rsidRPr="00AD5441">
        <w:rPr>
          <w:rFonts w:ascii="Times New Roman" w:hAnsi="Times New Roman" w:cs="Times New Roman"/>
          <w:color w:val="000000" w:themeColor="text1"/>
          <w:sz w:val="24"/>
          <w:szCs w:val="24"/>
        </w:rPr>
        <w:t xml:space="preserve">, </w:t>
      </w:r>
      <w:r w:rsidR="00C64D03" w:rsidRPr="00AD5441">
        <w:rPr>
          <w:rFonts w:ascii="Times New Roman" w:hAnsi="Times New Roman" w:cs="Times New Roman"/>
          <w:color w:val="000000" w:themeColor="text1"/>
          <w:sz w:val="24"/>
          <w:szCs w:val="24"/>
        </w:rPr>
        <w:t>and its conservation mission</w:t>
      </w:r>
      <w:r w:rsidR="004137D6" w:rsidRPr="00AD5441">
        <w:rPr>
          <w:rFonts w:ascii="Times New Roman" w:hAnsi="Times New Roman" w:cs="Times New Roman"/>
          <w:color w:val="000000" w:themeColor="text1"/>
          <w:sz w:val="24"/>
          <w:szCs w:val="24"/>
        </w:rPr>
        <w:t xml:space="preserve"> </w:t>
      </w:r>
      <w:r w:rsidR="00C64D03" w:rsidRPr="00AD5441">
        <w:rPr>
          <w:rFonts w:ascii="Times New Roman" w:hAnsi="Times New Roman" w:cs="Times New Roman"/>
          <w:color w:val="000000" w:themeColor="text1"/>
          <w:sz w:val="24"/>
          <w:szCs w:val="24"/>
        </w:rPr>
        <w:t>was found to be more outreaching</w:t>
      </w:r>
      <w:r w:rsidR="00F96F39">
        <w:rPr>
          <w:rFonts w:ascii="Times New Roman" w:hAnsi="Times New Roman" w:cs="Times New Roman"/>
          <w:color w:val="000000" w:themeColor="text1"/>
          <w:sz w:val="24"/>
          <w:szCs w:val="24"/>
        </w:rPr>
        <w:t xml:space="preserve"> (0.36)</w:t>
      </w:r>
      <w:r w:rsidR="00C64D03" w:rsidRPr="00AD5441">
        <w:rPr>
          <w:rFonts w:ascii="Times New Roman" w:hAnsi="Times New Roman" w:cs="Times New Roman"/>
          <w:color w:val="000000" w:themeColor="text1"/>
          <w:sz w:val="24"/>
          <w:szCs w:val="24"/>
        </w:rPr>
        <w:t xml:space="preserve"> and more focused toward conservation</w:t>
      </w:r>
      <w:r w:rsidR="00F96F39">
        <w:rPr>
          <w:rFonts w:ascii="Times New Roman" w:hAnsi="Times New Roman" w:cs="Times New Roman"/>
          <w:color w:val="000000" w:themeColor="text1"/>
          <w:sz w:val="24"/>
          <w:szCs w:val="24"/>
        </w:rPr>
        <w:t xml:space="preserve"> (0.33)</w:t>
      </w:r>
      <w:r w:rsidR="008E150D">
        <w:rPr>
          <w:rFonts w:ascii="Times New Roman" w:hAnsi="Times New Roman" w:cs="Times New Roman"/>
          <w:color w:val="000000" w:themeColor="text1"/>
          <w:sz w:val="24"/>
          <w:szCs w:val="24"/>
        </w:rPr>
        <w:t xml:space="preserve"> than its three African counterparts [(0.00, 0.20, 0.30); (0.21, 0.21, 0.21); and (0.33, 0.00, 0.33)]</w:t>
      </w:r>
      <w:r w:rsidR="00C64D03" w:rsidRPr="00174019">
        <w:rPr>
          <w:rFonts w:ascii="Times New Roman" w:hAnsi="Times New Roman" w:cs="Times New Roman"/>
          <w:color w:val="000000" w:themeColor="text1"/>
          <w:sz w:val="24"/>
          <w:szCs w:val="24"/>
        </w:rPr>
        <w:t xml:space="preserve">. </w:t>
      </w:r>
      <w:r w:rsidR="00AD5441" w:rsidRPr="00174019">
        <w:rPr>
          <w:rFonts w:ascii="Times New Roman" w:hAnsi="Times New Roman" w:cs="Times New Roman"/>
          <w:color w:val="000000" w:themeColor="text1"/>
          <w:sz w:val="24"/>
          <w:szCs w:val="24"/>
        </w:rPr>
        <w:t>During the last hundred years, the PAs networks of the three African countries have materialised, the national coverage of their PAs network</w:t>
      </w:r>
      <w:r w:rsidR="008E150D">
        <w:rPr>
          <w:rFonts w:ascii="Times New Roman" w:hAnsi="Times New Roman" w:cs="Times New Roman"/>
          <w:color w:val="000000" w:themeColor="text1"/>
          <w:sz w:val="24"/>
          <w:szCs w:val="24"/>
        </w:rPr>
        <w:t xml:space="preserve"> (0.26, 0.23, 0.26)</w:t>
      </w:r>
      <w:r w:rsidR="00AD5441" w:rsidRPr="00174019">
        <w:rPr>
          <w:rFonts w:ascii="Times New Roman" w:hAnsi="Times New Roman" w:cs="Times New Roman"/>
          <w:color w:val="000000" w:themeColor="text1"/>
          <w:sz w:val="24"/>
          <w:szCs w:val="24"/>
        </w:rPr>
        <w:t xml:space="preserve"> is closely within the same proportions as their</w:t>
      </w:r>
      <w:r w:rsidR="00031730" w:rsidRPr="00174019">
        <w:rPr>
          <w:rFonts w:ascii="Times New Roman" w:hAnsi="Times New Roman" w:cs="Times New Roman"/>
          <w:color w:val="000000" w:themeColor="text1"/>
          <w:sz w:val="24"/>
          <w:szCs w:val="24"/>
        </w:rPr>
        <w:t xml:space="preserve"> pioneer’s</w:t>
      </w:r>
      <w:r w:rsidR="008E150D">
        <w:rPr>
          <w:rFonts w:ascii="Times New Roman" w:hAnsi="Times New Roman" w:cs="Times New Roman"/>
          <w:color w:val="000000" w:themeColor="text1"/>
          <w:sz w:val="24"/>
          <w:szCs w:val="24"/>
        </w:rPr>
        <w:t xml:space="preserve"> (0.25)</w:t>
      </w:r>
      <w:r w:rsidR="00AD5441" w:rsidRPr="00174019">
        <w:rPr>
          <w:rFonts w:ascii="Times New Roman" w:hAnsi="Times New Roman" w:cs="Times New Roman"/>
          <w:color w:val="000000" w:themeColor="text1"/>
          <w:sz w:val="24"/>
          <w:szCs w:val="24"/>
        </w:rPr>
        <w:t xml:space="preserve">. However, </w:t>
      </w:r>
      <w:r w:rsidR="00031730" w:rsidRPr="00174019">
        <w:rPr>
          <w:rFonts w:ascii="Times New Roman" w:hAnsi="Times New Roman" w:cs="Times New Roman"/>
          <w:color w:val="000000" w:themeColor="text1"/>
          <w:sz w:val="24"/>
          <w:szCs w:val="24"/>
        </w:rPr>
        <w:t>contrary to the USA’s PAs network</w:t>
      </w:r>
      <w:r w:rsidR="008E150D">
        <w:rPr>
          <w:rFonts w:ascii="Times New Roman" w:hAnsi="Times New Roman" w:cs="Times New Roman"/>
          <w:color w:val="000000" w:themeColor="text1"/>
          <w:sz w:val="24"/>
          <w:szCs w:val="24"/>
        </w:rPr>
        <w:t xml:space="preserve"> (0.68)</w:t>
      </w:r>
      <w:r w:rsidR="00031730" w:rsidRPr="00174019">
        <w:rPr>
          <w:rFonts w:ascii="Times New Roman" w:hAnsi="Times New Roman" w:cs="Times New Roman"/>
          <w:color w:val="000000" w:themeColor="text1"/>
          <w:sz w:val="24"/>
          <w:szCs w:val="24"/>
        </w:rPr>
        <w:t xml:space="preserve">, their PAs types and designations have remained the 1950’s classic’ type with </w:t>
      </w:r>
      <w:r w:rsidR="00031730" w:rsidRPr="00273676">
        <w:rPr>
          <w:rFonts w:ascii="Times New Roman" w:hAnsi="Times New Roman" w:cs="Times New Roman"/>
          <w:color w:val="000000" w:themeColor="text1"/>
          <w:sz w:val="24"/>
          <w:szCs w:val="24"/>
        </w:rPr>
        <w:lastRenderedPageBreak/>
        <w:t>little diversification and innovation</w:t>
      </w:r>
      <w:r w:rsidR="008E150D" w:rsidRPr="00273676">
        <w:rPr>
          <w:rFonts w:ascii="Times New Roman" w:hAnsi="Times New Roman" w:cs="Times New Roman"/>
          <w:color w:val="000000" w:themeColor="text1"/>
          <w:sz w:val="24"/>
          <w:szCs w:val="24"/>
        </w:rPr>
        <w:t xml:space="preserve"> (0.21, 0.37, and 0.28)</w:t>
      </w:r>
      <w:r w:rsidR="00031730" w:rsidRPr="00273676">
        <w:rPr>
          <w:rFonts w:ascii="Times New Roman" w:hAnsi="Times New Roman" w:cs="Times New Roman"/>
          <w:color w:val="000000" w:themeColor="text1"/>
          <w:sz w:val="24"/>
          <w:szCs w:val="24"/>
        </w:rPr>
        <w:t>. W</w:t>
      </w:r>
      <w:r w:rsidR="00AD5441" w:rsidRPr="00273676">
        <w:rPr>
          <w:rFonts w:ascii="Times New Roman" w:hAnsi="Times New Roman" w:cs="Times New Roman"/>
          <w:color w:val="000000" w:themeColor="text1"/>
          <w:sz w:val="24"/>
          <w:szCs w:val="24"/>
        </w:rPr>
        <w:t xml:space="preserve">hen it comes to the Trend of PAs establishment, DRC, Rwanda, and Uganda’s PAs </w:t>
      </w:r>
      <w:r w:rsidR="00031730" w:rsidRPr="00273676">
        <w:rPr>
          <w:rFonts w:ascii="Times New Roman" w:hAnsi="Times New Roman" w:cs="Times New Roman"/>
          <w:color w:val="000000" w:themeColor="text1"/>
          <w:sz w:val="24"/>
          <w:szCs w:val="24"/>
        </w:rPr>
        <w:t>networks</w:t>
      </w:r>
      <w:r w:rsidR="00AD5441" w:rsidRPr="00273676">
        <w:rPr>
          <w:rFonts w:ascii="Times New Roman" w:hAnsi="Times New Roman" w:cs="Times New Roman"/>
          <w:color w:val="000000" w:themeColor="text1"/>
          <w:sz w:val="24"/>
          <w:szCs w:val="24"/>
        </w:rPr>
        <w:t xml:space="preserve"> have </w:t>
      </w:r>
      <w:r w:rsidR="00031730" w:rsidRPr="00273676">
        <w:rPr>
          <w:rFonts w:ascii="Times New Roman" w:hAnsi="Times New Roman" w:cs="Times New Roman"/>
          <w:color w:val="000000" w:themeColor="text1"/>
          <w:sz w:val="24"/>
          <w:szCs w:val="24"/>
        </w:rPr>
        <w:t>shown</w:t>
      </w:r>
      <w:r w:rsidR="00AD5441" w:rsidRPr="00273676">
        <w:rPr>
          <w:rFonts w:ascii="Times New Roman" w:hAnsi="Times New Roman" w:cs="Times New Roman"/>
          <w:color w:val="000000" w:themeColor="text1"/>
          <w:sz w:val="24"/>
          <w:szCs w:val="24"/>
        </w:rPr>
        <w:t xml:space="preserve"> </w:t>
      </w:r>
      <w:r w:rsidR="00031730" w:rsidRPr="00273676">
        <w:rPr>
          <w:rFonts w:ascii="Times New Roman" w:hAnsi="Times New Roman" w:cs="Times New Roman"/>
          <w:color w:val="000000" w:themeColor="text1"/>
          <w:sz w:val="24"/>
          <w:szCs w:val="24"/>
        </w:rPr>
        <w:t>better</w:t>
      </w:r>
      <w:r w:rsidR="00AD5441" w:rsidRPr="00273676">
        <w:rPr>
          <w:rFonts w:ascii="Times New Roman" w:hAnsi="Times New Roman" w:cs="Times New Roman"/>
          <w:color w:val="000000" w:themeColor="text1"/>
          <w:sz w:val="24"/>
          <w:szCs w:val="24"/>
        </w:rPr>
        <w:t xml:space="preserve"> achievements </w:t>
      </w:r>
      <w:r w:rsidR="00273676" w:rsidRPr="00273676">
        <w:rPr>
          <w:rFonts w:ascii="Times New Roman" w:hAnsi="Times New Roman" w:cs="Times New Roman"/>
          <w:color w:val="000000" w:themeColor="text1"/>
          <w:sz w:val="24"/>
          <w:szCs w:val="24"/>
        </w:rPr>
        <w:t xml:space="preserve">(0.21, 0.37, 0.28) </w:t>
      </w:r>
      <w:r w:rsidR="00031730" w:rsidRPr="00273676">
        <w:rPr>
          <w:rFonts w:ascii="Times New Roman" w:hAnsi="Times New Roman" w:cs="Times New Roman"/>
          <w:color w:val="000000" w:themeColor="text1"/>
          <w:sz w:val="24"/>
          <w:szCs w:val="24"/>
        </w:rPr>
        <w:t>compared to</w:t>
      </w:r>
      <w:r w:rsidR="00AD5441" w:rsidRPr="00273676">
        <w:rPr>
          <w:rFonts w:ascii="Times New Roman" w:hAnsi="Times New Roman" w:cs="Times New Roman"/>
          <w:color w:val="000000" w:themeColor="text1"/>
          <w:sz w:val="24"/>
          <w:szCs w:val="24"/>
        </w:rPr>
        <w:t xml:space="preserve"> the USA’s PAs </w:t>
      </w:r>
      <w:r w:rsidR="00031730" w:rsidRPr="00273676">
        <w:rPr>
          <w:rFonts w:ascii="Times New Roman" w:hAnsi="Times New Roman" w:cs="Times New Roman"/>
          <w:color w:val="000000" w:themeColor="text1"/>
          <w:sz w:val="24"/>
          <w:szCs w:val="24"/>
        </w:rPr>
        <w:t>network</w:t>
      </w:r>
      <w:r w:rsidR="00273676" w:rsidRPr="00273676">
        <w:rPr>
          <w:rFonts w:ascii="Times New Roman" w:hAnsi="Times New Roman" w:cs="Times New Roman"/>
          <w:color w:val="000000" w:themeColor="text1"/>
          <w:sz w:val="24"/>
          <w:szCs w:val="24"/>
        </w:rPr>
        <w:t xml:space="preserve"> (0.14)</w:t>
      </w:r>
      <w:r w:rsidR="00AD5441" w:rsidRPr="00273676">
        <w:rPr>
          <w:rFonts w:ascii="Times New Roman" w:hAnsi="Times New Roman" w:cs="Times New Roman"/>
          <w:color w:val="000000" w:themeColor="text1"/>
          <w:sz w:val="24"/>
          <w:szCs w:val="24"/>
        </w:rPr>
        <w:t xml:space="preserve"> which is the </w:t>
      </w:r>
      <w:r w:rsidR="00031730" w:rsidRPr="00273676">
        <w:rPr>
          <w:rFonts w:ascii="Times New Roman" w:hAnsi="Times New Roman" w:cs="Times New Roman"/>
          <w:color w:val="000000" w:themeColor="text1"/>
          <w:sz w:val="24"/>
          <w:szCs w:val="24"/>
        </w:rPr>
        <w:t>sign</w:t>
      </w:r>
      <w:r w:rsidR="00AD5441" w:rsidRPr="00273676">
        <w:rPr>
          <w:rFonts w:ascii="Times New Roman" w:hAnsi="Times New Roman" w:cs="Times New Roman"/>
          <w:color w:val="000000" w:themeColor="text1"/>
          <w:sz w:val="24"/>
          <w:szCs w:val="24"/>
        </w:rPr>
        <w:t xml:space="preserve"> of the increased </w:t>
      </w:r>
      <w:r w:rsidR="00174019" w:rsidRPr="00273676">
        <w:rPr>
          <w:rFonts w:ascii="Times New Roman" w:hAnsi="Times New Roman" w:cs="Times New Roman"/>
          <w:color w:val="000000" w:themeColor="text1"/>
          <w:sz w:val="24"/>
          <w:szCs w:val="24"/>
        </w:rPr>
        <w:t>awareness and political will towards conservation</w:t>
      </w:r>
      <w:r w:rsidR="00273676" w:rsidRPr="00273676">
        <w:rPr>
          <w:rFonts w:ascii="Times New Roman" w:hAnsi="Times New Roman" w:cs="Times New Roman"/>
          <w:color w:val="000000" w:themeColor="text1"/>
          <w:sz w:val="24"/>
          <w:szCs w:val="24"/>
        </w:rPr>
        <w:t xml:space="preserve"> during the last decades</w:t>
      </w:r>
      <w:r w:rsidR="00785D49">
        <w:rPr>
          <w:rFonts w:ascii="Times New Roman" w:hAnsi="Times New Roman" w:cs="Times New Roman"/>
          <w:color w:val="000000" w:themeColor="text1"/>
          <w:sz w:val="24"/>
          <w:szCs w:val="24"/>
        </w:rPr>
        <w:t>, and reason for hope to becoming the conservation candle in the future</w:t>
      </w:r>
      <w:r w:rsidR="00174019" w:rsidRPr="00273676">
        <w:rPr>
          <w:rFonts w:ascii="Times New Roman" w:hAnsi="Times New Roman" w:cs="Times New Roman"/>
          <w:color w:val="000000" w:themeColor="text1"/>
          <w:sz w:val="24"/>
          <w:szCs w:val="24"/>
        </w:rPr>
        <w:t>.</w:t>
      </w:r>
    </w:p>
    <w:p w:rsidR="00F17E02" w:rsidRDefault="00AF2575" w:rsidP="00F17E02">
      <w:pPr>
        <w:keepNext/>
        <w:spacing w:line="240" w:lineRule="auto"/>
      </w:pPr>
      <w:r>
        <w:rPr>
          <w:noProof/>
        </w:rPr>
        <mc:AlternateContent>
          <mc:Choice Requires="wps">
            <w:drawing>
              <wp:anchor distT="0" distB="0" distL="114300" distR="114300" simplePos="0" relativeHeight="251661312" behindDoc="0" locked="0" layoutInCell="1" allowOverlap="1" wp14:anchorId="74DB7C34" wp14:editId="2338BE5E">
                <wp:simplePos x="0" y="0"/>
                <wp:positionH relativeFrom="column">
                  <wp:posOffset>1940118</wp:posOffset>
                </wp:positionH>
                <wp:positionV relativeFrom="paragraph">
                  <wp:posOffset>1010920</wp:posOffset>
                </wp:positionV>
                <wp:extent cx="1200647" cy="4293704"/>
                <wp:effectExtent l="0" t="0" r="19050" b="12065"/>
                <wp:wrapNone/>
                <wp:docPr id="2110878719" name="Rectangle: Rounded Corners 1"/>
                <wp:cNvGraphicFramePr/>
                <a:graphic xmlns:a="http://schemas.openxmlformats.org/drawingml/2006/main">
                  <a:graphicData uri="http://schemas.microsoft.com/office/word/2010/wordprocessingShape">
                    <wps:wsp>
                      <wps:cNvSpPr/>
                      <wps:spPr>
                        <a:xfrm>
                          <a:off x="0" y="0"/>
                          <a:ext cx="1200647" cy="4293704"/>
                        </a:xfrm>
                        <a:prstGeom prst="roundRect">
                          <a:avLst/>
                        </a:prstGeom>
                        <a:noFill/>
                        <a:ln w="19050" cap="flat" cmpd="sng" algn="ctr">
                          <a:solidFill>
                            <a:srgbClr val="0000FF"/>
                          </a:solidFill>
                          <a:prstDash val="dash"/>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91AEA9" id="Rectangle: Rounded Corners 1" o:spid="_x0000_s1026" style="position:absolute;margin-left:152.75pt;margin-top:79.6pt;width:94.55pt;height:338.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c44VwIAAKcEAAAOAAAAZHJzL2Uyb0RvYy54bWysVE1PGzEQvVfqf7B8L5ukoUCUDYqCUlVC&#10;gICKs+O1s5Zsjzt2sqG/vmPvQijtqWoOzoxnPB9v3uz88uAs2yuMBnzNxycjzpSX0Bi/rfn3x/Wn&#10;c85iEr4RFryq+bOK/HLx8cO8CzM1gRZso5BREB9nXah5m1KYVVWUrXIinkBQnowa0IlEKm6rBkVH&#10;0Z2tJqPRl6oDbAKCVDHS7VVv5IsSX2sl063WUSVma061pXJiOTf5rBZzMduiCK2RQxniH6pwwnhK&#10;+hrqSiTBdmj+COWMRIig04kEV4HWRqrSA3UzHr3r5qEVQZVeCJwYXmGK/y+svNk/hDskGLoQZ5HE&#10;3MVBo8v/VB87FLCeX8FSh8QkXY4z/NMzziTZppOLz2ejaYazOj4PGNNXBY5loeYIO9/c00gKUmJ/&#10;HVPv/+KXU3pYG2vLWKxnHeW5GJ3S5KQgdmgrEokuNDWPfsuZsFuinUxYQkawpsnPc6CI283KItuL&#10;PHr6rddDeb+55dxXIra9X0NSzwlnEhHTGlfz8/y6UIV6sz4HV4VaQwNH5LK0geb5DhlCz7UY5NpQ&#10;jmsR051AIhc1QwuTbunQFqhDGCTOWsCff7vP/jRzsnLWEVmp+x87gYoz+80TGy7G02lmd1Gmp2cT&#10;UvCtZfPW4nduBQTKmFYzyCJm/2RfRI3gnmivljkrmYSXlLvHeVBWqV8i2kyplsviRowOIl37hyBz&#10;8IxTRvfx8CQwDBxIRJ8beCG2mL1jQe/b82C5S6BNocgRV+JXVmgbCtOGzc3r9lYvXsfvy+IXAAAA&#10;//8DAFBLAwQUAAYACAAAACEAHB554OMAAAALAQAADwAAAGRycy9kb3ducmV2LnhtbEyPQU/CQBCF&#10;7yb+h82YeJOt0BKo3RJDggQ1JgIHj0t3bBu6s7W7LfXfO570OHlf3vsmW422EQN2vnak4H4SgUAq&#10;nKmpVHA8bO4WIHzQZHTjCBV8o4dVfn2V6dS4C73jsA+l4BLyqVZQhdCmUvqiQqv9xLVInH26zurA&#10;Z1dK0+kLl9tGTqNoLq2uiRcq3eK6wuK8760CK3fP9Xb99rTb9C9f/bZ4Hc4fXqnbm/HxAUTAMfzB&#10;8KvP6pCz08n1ZLxoFMyiJGGUg2Q5BcFEvIznIE4KFrMkBpln8v8P+Q8AAAD//wMAUEsBAi0AFAAG&#10;AAgAAAAhALaDOJL+AAAA4QEAABMAAAAAAAAAAAAAAAAAAAAAAFtDb250ZW50X1R5cGVzXS54bWxQ&#10;SwECLQAUAAYACAAAACEAOP0h/9YAAACUAQAACwAAAAAAAAAAAAAAAAAvAQAAX3JlbHMvLnJlbHNQ&#10;SwECLQAUAAYACAAAACEAOKnOOFcCAACnBAAADgAAAAAAAAAAAAAAAAAuAgAAZHJzL2Uyb0RvYy54&#10;bWxQSwECLQAUAAYACAAAACEAHB554OMAAAALAQAADwAAAAAAAAAAAAAAAACxBAAAZHJzL2Rvd25y&#10;ZXYueG1sUEsFBgAAAAAEAAQA8wAAAMEFAAAAAA==&#10;" filled="f" strokecolor="blue" strokeweight="1.5pt">
                <v:stroke dashstyle="dash" joinstyle="miter"/>
              </v:roundrect>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628015</wp:posOffset>
                </wp:positionH>
                <wp:positionV relativeFrom="paragraph">
                  <wp:posOffset>366644</wp:posOffset>
                </wp:positionV>
                <wp:extent cx="1256306" cy="5120640"/>
                <wp:effectExtent l="0" t="0" r="20320" b="22860"/>
                <wp:wrapNone/>
                <wp:docPr id="2075446574" name="Rectangle: Rounded Corners 1"/>
                <wp:cNvGraphicFramePr/>
                <a:graphic xmlns:a="http://schemas.openxmlformats.org/drawingml/2006/main">
                  <a:graphicData uri="http://schemas.microsoft.com/office/word/2010/wordprocessingShape">
                    <wps:wsp>
                      <wps:cNvSpPr/>
                      <wps:spPr>
                        <a:xfrm>
                          <a:off x="0" y="0"/>
                          <a:ext cx="1256306" cy="5120640"/>
                        </a:xfrm>
                        <a:prstGeom prst="roundRect">
                          <a:avLst/>
                        </a:prstGeom>
                        <a:noFill/>
                        <a:ln w="19050">
                          <a:solidFill>
                            <a:srgbClr val="996633"/>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B6553BD" id="Rectangle: Rounded Corners 1" o:spid="_x0000_s1026" style="position:absolute;margin-left:49.45pt;margin-top:28.85pt;width:98.9pt;height:403.2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RxlwIAAIcFAAAOAAAAZHJzL2Uyb0RvYy54bWysVE1vGyEQvVfqf0Dcm911Yre2so6sRKkq&#10;RYmVpMoZs+BFYhkK2Gv313dgP5ymUQ9VfcCw8+YN85iZy6tDo8leOK/AlLQ4yykRhkOlzLak359v&#10;P32hxAdmKqbBiJIehadXy48fLlu7EBOoQVfCESQxftHaktYh2EWWeV6LhvkzsMKgUYJrWMCj22aV&#10;Yy2yNzqb5Pksa8FV1gEX3uPXm85Il4lfSsHDg5ReBKJLincLaXVp3cQ1W16yxdYxWyveX4P9wy0a&#10;pgwGHaluWGBk59QfVI3iDjzIcMahyUBKxUXKAbMp8jfZPNXMipQLiuPtKJP/f7T8fv9k1w5laK1f&#10;eNzGLA7SNfEf70cOSazjKJY4BMLxYzGZzs7zGSUcbdNiks8ukpzZyd06H74KaEjclNTBzlSP+CRJ&#10;Kba/8wHjIn7AxZAGbpXW6Vm0IS3GmefTPHl40KqK1ojzbru51o7sGb7sfD6bnZ/Hx0S232CR+ob5&#10;usNVuOtR2iD4lHPahaMWkVubRyGJqjDLSRc5lqMYwzHOhQlFZ6pZJTr2aY6/4RKDR7pSIozMEm8/&#10;cvcEA7IjGbi7XHp8dBWpmkfnXpK/OY8eKTKYMDo3yoB7LzONWfWRO/wgUidNVGkD1XHtiIOul7zl&#10;twpFvmM+rJnD5sE2w4EQHnCRGvAFod9RUoP7+d73iMeaRislLTZjSf2PHXOCEv3NYLXPiwssLhLS&#10;4WL6eYIH99qyeW0xu+YasCoKHD2Wp23EBz1spYPmBefGKkZFEzMcY5eUBzccrkM3JHDycLFaJRh2&#10;rGXhzjxZHsmjqrG8ng8vzNm+xgO2xz0MjcsWb6q8w0ZPA6tdAKlSC5x07fXGbk+F00+mOE5enxPq&#10;ND+XvwAAAP//AwBQSwMEFAAGAAgAAAAhAMLvozLfAAAACQEAAA8AAABkcnMvZG93bnJldi54bWxM&#10;j0FOwzAQRfdI3MEaJHbUbkXTJMSpKFIFZVO19ABuPMQWsR3Fbhpuz7CC3Yz+15s31XpyHRtxiDZ4&#10;CfOZAIa+Cdr6VsLpY/uQA4tJea264FHCN0ZY17c3lSp1uPoDjsfUMoL4WCoJJqW+5Dw2Bp2Ks9Cj&#10;p+wzDE4lWoeW60FdCe46vhAi405ZTxeM6vHFYPN1vDgJud3tX22/EW/bpTjslBk376e9lPd30/MT&#10;sIRT+ivDrz6pQ01O53DxOrJOQpEX1JSwXK2AUb4oMhrOBM8e58Driv//oP4BAAD//wMAUEsBAi0A&#10;FAAGAAgAAAAhALaDOJL+AAAA4QEAABMAAAAAAAAAAAAAAAAAAAAAAFtDb250ZW50X1R5cGVzXS54&#10;bWxQSwECLQAUAAYACAAAACEAOP0h/9YAAACUAQAACwAAAAAAAAAAAAAAAAAvAQAAX3JlbHMvLnJl&#10;bHNQSwECLQAUAAYACAAAACEAPskUcZcCAACHBQAADgAAAAAAAAAAAAAAAAAuAgAAZHJzL2Uyb0Rv&#10;Yy54bWxQSwECLQAUAAYACAAAACEAwu+jMt8AAAAJAQAADwAAAAAAAAAAAAAAAADxBAAAZHJzL2Rv&#10;d25yZXYueG1sUEsFBgAAAAAEAAQA8wAAAP0FAAAAAA==&#10;" filled="f" strokecolor="#963" strokeweight="1.5pt">
                <v:stroke dashstyle="dash" joinstyle="miter"/>
              </v:roundrect>
            </w:pict>
          </mc:Fallback>
        </mc:AlternateContent>
      </w:r>
      <w:r>
        <w:rPr>
          <w:noProof/>
        </w:rPr>
        <w:drawing>
          <wp:inline distT="0" distB="0" distL="0" distR="0" wp14:anchorId="15D10F0A" wp14:editId="5C40FC36">
            <wp:extent cx="5731510" cy="5675630"/>
            <wp:effectExtent l="0" t="0" r="2540" b="1270"/>
            <wp:docPr id="190502607" name="Chart 1">
              <a:extLst xmlns:a="http://schemas.openxmlformats.org/drawingml/2006/main">
                <a:ext uri="{FF2B5EF4-FFF2-40B4-BE49-F238E27FC236}">
                  <a16:creationId xmlns:a16="http://schemas.microsoft.com/office/drawing/2014/main" id="{107C0967-42CC-F908-CB27-29B8EEDEFC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17E02" w:rsidRDefault="00F17E02" w:rsidP="00F17E02">
      <w:pPr>
        <w:pStyle w:val="Caption"/>
        <w:jc w:val="left"/>
        <w:rPr>
          <w:color w:val="000000" w:themeColor="text1"/>
        </w:rPr>
      </w:pPr>
      <w:r>
        <w:t xml:space="preserve">Figure </w:t>
      </w:r>
      <w:fldSimple w:instr=" STYLEREF 1 \s ">
        <w:r w:rsidR="008F575F">
          <w:rPr>
            <w:noProof/>
          </w:rPr>
          <w:t>4</w:t>
        </w:r>
      </w:fldSimple>
      <w:r w:rsidR="008F575F">
        <w:t>.</w:t>
      </w:r>
      <w:fldSimple w:instr=" SEQ Figure \* ARABIC \s 1 ">
        <w:r w:rsidR="008F575F">
          <w:rPr>
            <w:noProof/>
          </w:rPr>
          <w:t>1</w:t>
        </w:r>
      </w:fldSimple>
      <w:r>
        <w:t xml:space="preserve">. </w:t>
      </w:r>
      <w:r w:rsidRPr="007D4D4B">
        <w:t>Comp</w:t>
      </w:r>
      <w:r w:rsidR="00C223C4">
        <w:t xml:space="preserve">rehensive representation of the </w:t>
      </w:r>
      <w:r w:rsidRPr="007D4D4B">
        <w:t>DRC</w:t>
      </w:r>
      <w:r w:rsidR="00C223C4">
        <w:t>’s</w:t>
      </w:r>
      <w:r w:rsidRPr="007D4D4B">
        <w:t>, Rwanda</w:t>
      </w:r>
      <w:r w:rsidR="00C223C4">
        <w:t>’s</w:t>
      </w:r>
      <w:r w:rsidRPr="007D4D4B">
        <w:t>, Uganda</w:t>
      </w:r>
      <w:r w:rsidR="00C223C4">
        <w:t>’s</w:t>
      </w:r>
      <w:r w:rsidRPr="007D4D4B">
        <w:t>, and USA’s</w:t>
      </w:r>
      <w:r w:rsidR="00C223C4">
        <w:t xml:space="preserve"> Conservation policy environment (circled in brown), Institutional framework (circled in blue), and PAs network (circled in pink)</w:t>
      </w:r>
      <w:r w:rsidRPr="007D4D4B">
        <w:t>.</w:t>
      </w:r>
    </w:p>
    <w:p w:rsidR="00F17E02" w:rsidRPr="00863DC0" w:rsidRDefault="00F17E02" w:rsidP="00863DC0">
      <w:pPr>
        <w:spacing w:line="276" w:lineRule="auto"/>
        <w:rPr>
          <w:rFonts w:ascii="Times New Roman" w:hAnsi="Times New Roman" w:cs="Times New Roman"/>
          <w:color w:val="000000" w:themeColor="text1"/>
          <w:sz w:val="24"/>
          <w:szCs w:val="24"/>
        </w:rPr>
      </w:pPr>
      <w:r w:rsidRPr="00863DC0">
        <w:rPr>
          <w:rFonts w:ascii="Times New Roman" w:hAnsi="Times New Roman" w:cs="Times New Roman"/>
          <w:color w:val="000000" w:themeColor="text1"/>
          <w:sz w:val="24"/>
          <w:szCs w:val="24"/>
        </w:rPr>
        <w:t xml:space="preserve">This study has gathered many </w:t>
      </w:r>
      <w:r w:rsidR="00EA1F7C" w:rsidRPr="00863DC0">
        <w:rPr>
          <w:rFonts w:ascii="Times New Roman" w:hAnsi="Times New Roman" w:cs="Times New Roman"/>
          <w:color w:val="000000" w:themeColor="text1"/>
          <w:sz w:val="24"/>
          <w:szCs w:val="24"/>
        </w:rPr>
        <w:t xml:space="preserve">specific mutual </w:t>
      </w:r>
      <w:r w:rsidRPr="00863DC0">
        <w:rPr>
          <w:rFonts w:ascii="Times New Roman" w:hAnsi="Times New Roman" w:cs="Times New Roman"/>
          <w:color w:val="000000" w:themeColor="text1"/>
          <w:sz w:val="24"/>
          <w:szCs w:val="24"/>
        </w:rPr>
        <w:t>lessons to be learned from</w:t>
      </w:r>
      <w:r w:rsidR="00EA1F7C" w:rsidRPr="00863DC0">
        <w:rPr>
          <w:rFonts w:ascii="Times New Roman" w:hAnsi="Times New Roman" w:cs="Times New Roman"/>
          <w:color w:val="000000" w:themeColor="text1"/>
          <w:sz w:val="24"/>
          <w:szCs w:val="24"/>
        </w:rPr>
        <w:t xml:space="preserve"> and by</w:t>
      </w:r>
      <w:r w:rsidRPr="00863DC0">
        <w:rPr>
          <w:rFonts w:ascii="Times New Roman" w:hAnsi="Times New Roman" w:cs="Times New Roman"/>
          <w:color w:val="000000" w:themeColor="text1"/>
          <w:sz w:val="24"/>
          <w:szCs w:val="24"/>
        </w:rPr>
        <w:t xml:space="preserve"> </w:t>
      </w:r>
      <w:r w:rsidR="00EA1F7C" w:rsidRPr="00863DC0">
        <w:rPr>
          <w:rFonts w:ascii="Times New Roman" w:hAnsi="Times New Roman" w:cs="Times New Roman"/>
          <w:color w:val="000000" w:themeColor="text1"/>
          <w:sz w:val="24"/>
          <w:szCs w:val="24"/>
        </w:rPr>
        <w:t xml:space="preserve">both sides, </w:t>
      </w:r>
      <w:r w:rsidRPr="00863DC0">
        <w:rPr>
          <w:rFonts w:ascii="Times New Roman" w:hAnsi="Times New Roman" w:cs="Times New Roman"/>
          <w:color w:val="000000" w:themeColor="text1"/>
          <w:sz w:val="24"/>
          <w:szCs w:val="24"/>
        </w:rPr>
        <w:t xml:space="preserve">the USA’s PAs </w:t>
      </w:r>
      <w:r w:rsidR="00EA1F7C" w:rsidRPr="00863DC0">
        <w:rPr>
          <w:rFonts w:ascii="Times New Roman" w:hAnsi="Times New Roman" w:cs="Times New Roman"/>
          <w:color w:val="000000" w:themeColor="text1"/>
          <w:sz w:val="24"/>
          <w:szCs w:val="24"/>
        </w:rPr>
        <w:t>system on one hand</w:t>
      </w:r>
      <w:r w:rsidRPr="00863DC0">
        <w:rPr>
          <w:rFonts w:ascii="Times New Roman" w:hAnsi="Times New Roman" w:cs="Times New Roman"/>
          <w:color w:val="000000" w:themeColor="text1"/>
          <w:sz w:val="24"/>
          <w:szCs w:val="24"/>
        </w:rPr>
        <w:t xml:space="preserve"> and</w:t>
      </w:r>
      <w:r w:rsidR="00EA1F7C" w:rsidRPr="00863DC0">
        <w:rPr>
          <w:rFonts w:ascii="Times New Roman" w:hAnsi="Times New Roman" w:cs="Times New Roman"/>
          <w:color w:val="000000" w:themeColor="text1"/>
          <w:sz w:val="24"/>
          <w:szCs w:val="24"/>
        </w:rPr>
        <w:t xml:space="preserve"> the</w:t>
      </w:r>
      <w:r w:rsidRPr="00863DC0">
        <w:rPr>
          <w:rFonts w:ascii="Times New Roman" w:hAnsi="Times New Roman" w:cs="Times New Roman"/>
          <w:color w:val="000000" w:themeColor="text1"/>
          <w:sz w:val="24"/>
          <w:szCs w:val="24"/>
        </w:rPr>
        <w:t xml:space="preserve"> DRC, Rwanda, and Uganda</w:t>
      </w:r>
      <w:r w:rsidR="00EA1F7C" w:rsidRPr="00863DC0">
        <w:rPr>
          <w:rFonts w:ascii="Times New Roman" w:hAnsi="Times New Roman" w:cs="Times New Roman"/>
          <w:color w:val="000000" w:themeColor="text1"/>
          <w:sz w:val="24"/>
          <w:szCs w:val="24"/>
        </w:rPr>
        <w:t xml:space="preserve"> on the other hand</w:t>
      </w:r>
      <w:r w:rsidRPr="00863DC0">
        <w:rPr>
          <w:rFonts w:ascii="Times New Roman" w:hAnsi="Times New Roman" w:cs="Times New Roman"/>
          <w:color w:val="000000" w:themeColor="text1"/>
          <w:sz w:val="24"/>
          <w:szCs w:val="24"/>
        </w:rPr>
        <w:t xml:space="preserve"> </w:t>
      </w:r>
      <w:r w:rsidR="00EA1F7C" w:rsidRPr="00863DC0">
        <w:rPr>
          <w:rFonts w:ascii="Times New Roman" w:hAnsi="Times New Roman" w:cs="Times New Roman"/>
          <w:color w:val="000000" w:themeColor="text1"/>
          <w:sz w:val="24"/>
          <w:szCs w:val="24"/>
        </w:rPr>
        <w:t xml:space="preserve">to help them </w:t>
      </w:r>
      <w:r w:rsidRPr="00863DC0">
        <w:rPr>
          <w:rFonts w:ascii="Times New Roman" w:hAnsi="Times New Roman" w:cs="Times New Roman"/>
          <w:color w:val="000000" w:themeColor="text1"/>
          <w:sz w:val="24"/>
          <w:szCs w:val="24"/>
        </w:rPr>
        <w:t>recalibrate</w:t>
      </w:r>
      <w:r w:rsidR="00EA1F7C" w:rsidRPr="00863DC0">
        <w:rPr>
          <w:rFonts w:ascii="Times New Roman" w:hAnsi="Times New Roman" w:cs="Times New Roman"/>
          <w:color w:val="000000" w:themeColor="text1"/>
          <w:sz w:val="24"/>
          <w:szCs w:val="24"/>
        </w:rPr>
        <w:t xml:space="preserve"> and upgrade</w:t>
      </w:r>
      <w:r w:rsidRPr="00863DC0">
        <w:rPr>
          <w:rFonts w:ascii="Times New Roman" w:hAnsi="Times New Roman" w:cs="Times New Roman"/>
          <w:color w:val="000000" w:themeColor="text1"/>
          <w:sz w:val="24"/>
          <w:szCs w:val="24"/>
        </w:rPr>
        <w:t xml:space="preserve"> their PAs systems:</w:t>
      </w:r>
    </w:p>
    <w:p w:rsidR="00451C42" w:rsidRPr="00863DC0" w:rsidRDefault="00E61CD2" w:rsidP="00863DC0">
      <w:pPr>
        <w:spacing w:line="276" w:lineRule="auto"/>
        <w:rPr>
          <w:rFonts w:ascii="Times New Roman" w:hAnsi="Times New Roman" w:cs="Times New Roman"/>
          <w:color w:val="000000" w:themeColor="text1"/>
          <w:sz w:val="24"/>
          <w:szCs w:val="24"/>
        </w:rPr>
      </w:pPr>
      <w:r w:rsidRPr="00863DC0">
        <w:rPr>
          <w:rFonts w:ascii="Times New Roman" w:hAnsi="Times New Roman" w:cs="Times New Roman"/>
          <w:color w:val="000000" w:themeColor="text1"/>
          <w:sz w:val="24"/>
          <w:szCs w:val="24"/>
        </w:rPr>
        <w:t>The</w:t>
      </w:r>
      <w:r w:rsidR="00DA33D7" w:rsidRPr="00863DC0">
        <w:rPr>
          <w:rFonts w:ascii="Times New Roman" w:hAnsi="Times New Roman" w:cs="Times New Roman"/>
          <w:color w:val="000000" w:themeColor="text1"/>
          <w:sz w:val="24"/>
          <w:szCs w:val="24"/>
        </w:rPr>
        <w:t xml:space="preserve"> gaps in the conservation policy environment </w:t>
      </w:r>
      <w:r w:rsidRPr="00863DC0">
        <w:rPr>
          <w:rFonts w:ascii="Times New Roman" w:hAnsi="Times New Roman" w:cs="Times New Roman"/>
          <w:color w:val="000000" w:themeColor="text1"/>
          <w:sz w:val="24"/>
          <w:szCs w:val="24"/>
        </w:rPr>
        <w:t xml:space="preserve">of the DRC, Rwanda, and Uganda </w:t>
      </w:r>
      <w:r w:rsidR="00DA33D7" w:rsidRPr="00863DC0">
        <w:rPr>
          <w:rFonts w:ascii="Times New Roman" w:hAnsi="Times New Roman" w:cs="Times New Roman"/>
          <w:color w:val="000000" w:themeColor="text1"/>
          <w:sz w:val="24"/>
          <w:szCs w:val="24"/>
        </w:rPr>
        <w:t xml:space="preserve">are particularly </w:t>
      </w:r>
      <w:r w:rsidR="005F7382" w:rsidRPr="00863DC0">
        <w:rPr>
          <w:rFonts w:ascii="Times New Roman" w:hAnsi="Times New Roman" w:cs="Times New Roman"/>
          <w:color w:val="000000" w:themeColor="text1"/>
          <w:sz w:val="24"/>
          <w:szCs w:val="24"/>
        </w:rPr>
        <w:t>due to the lack of provisions related to</w:t>
      </w:r>
      <w:r w:rsidR="00DA33D7" w:rsidRPr="00863DC0">
        <w:rPr>
          <w:rFonts w:ascii="Times New Roman" w:hAnsi="Times New Roman" w:cs="Times New Roman"/>
          <w:color w:val="000000" w:themeColor="text1"/>
          <w:sz w:val="24"/>
          <w:szCs w:val="24"/>
        </w:rPr>
        <w:t xml:space="preserve"> the preservation of scenic, cultural and </w:t>
      </w:r>
      <w:r w:rsidR="00DA33D7" w:rsidRPr="00863DC0">
        <w:rPr>
          <w:rFonts w:ascii="Times New Roman" w:hAnsi="Times New Roman" w:cs="Times New Roman"/>
          <w:color w:val="000000" w:themeColor="text1"/>
          <w:sz w:val="24"/>
          <w:szCs w:val="24"/>
        </w:rPr>
        <w:lastRenderedPageBreak/>
        <w:t>historic resources. There is still a need to eradicate marginal legal practices, scale-up human-wildlife conflict management, and enhance benefit-sharing provisions.</w:t>
      </w:r>
      <w:r w:rsidRPr="00863DC0">
        <w:rPr>
          <w:rFonts w:ascii="Times New Roman" w:hAnsi="Times New Roman" w:cs="Times New Roman"/>
          <w:color w:val="000000" w:themeColor="text1"/>
          <w:sz w:val="24"/>
          <w:szCs w:val="24"/>
        </w:rPr>
        <w:t xml:space="preserve"> </w:t>
      </w:r>
    </w:p>
    <w:p w:rsidR="00DA33D7" w:rsidRPr="00863DC0" w:rsidRDefault="00E61CD2" w:rsidP="00863DC0">
      <w:pPr>
        <w:spacing w:line="276" w:lineRule="auto"/>
        <w:rPr>
          <w:rFonts w:ascii="Times New Roman" w:hAnsi="Times New Roman" w:cs="Times New Roman"/>
          <w:color w:val="000000" w:themeColor="text1"/>
          <w:sz w:val="24"/>
          <w:szCs w:val="24"/>
        </w:rPr>
      </w:pPr>
      <w:r w:rsidRPr="00863DC0">
        <w:rPr>
          <w:rFonts w:ascii="Times New Roman" w:hAnsi="Times New Roman" w:cs="Times New Roman"/>
          <w:sz w:val="24"/>
          <w:szCs w:val="24"/>
        </w:rPr>
        <w:t>In analysing the conservation institutional framework, this study has pointed out that Rwanda's conservation framework in particular is centred around the RDB, which partly oversees the management of PAs but whose primary mission is to accelerate Rwanda’s economic development by enabling private sector growth. Considering Rwanda's historical context, geographic size, and its socio-economic situation, conservation efforts in Rwanda are intensely focused on the protection of selected endangered species like mountain gorillas</w:t>
      </w:r>
      <w:r w:rsidR="005F7382" w:rsidRPr="00863DC0">
        <w:rPr>
          <w:rFonts w:ascii="Times New Roman" w:hAnsi="Times New Roman" w:cs="Times New Roman"/>
          <w:sz w:val="24"/>
          <w:szCs w:val="24"/>
        </w:rPr>
        <w:t xml:space="preserve"> where</w:t>
      </w:r>
      <w:r w:rsidRPr="00863DC0">
        <w:rPr>
          <w:rFonts w:ascii="Times New Roman" w:hAnsi="Times New Roman" w:cs="Times New Roman"/>
          <w:sz w:val="24"/>
          <w:szCs w:val="24"/>
        </w:rPr>
        <w:t xml:space="preserve"> </w:t>
      </w:r>
      <w:r w:rsidR="005F7382" w:rsidRPr="00863DC0">
        <w:rPr>
          <w:rFonts w:ascii="Times New Roman" w:hAnsi="Times New Roman" w:cs="Times New Roman"/>
          <w:sz w:val="24"/>
          <w:szCs w:val="24"/>
        </w:rPr>
        <w:t>c</w:t>
      </w:r>
      <w:r w:rsidRPr="00863DC0">
        <w:rPr>
          <w:rFonts w:ascii="Times New Roman" w:hAnsi="Times New Roman" w:cs="Times New Roman"/>
          <w:sz w:val="24"/>
          <w:szCs w:val="24"/>
        </w:rPr>
        <w:t xml:space="preserve">ommunity involvement and eco-tourism are pivotal elements </w:t>
      </w:r>
      <w:r w:rsidR="005F7382" w:rsidRPr="00863DC0">
        <w:rPr>
          <w:rFonts w:ascii="Times New Roman" w:hAnsi="Times New Roman" w:cs="Times New Roman"/>
          <w:sz w:val="24"/>
          <w:szCs w:val="24"/>
        </w:rPr>
        <w:t>of its</w:t>
      </w:r>
      <w:r w:rsidRPr="00863DC0">
        <w:rPr>
          <w:rFonts w:ascii="Times New Roman" w:hAnsi="Times New Roman" w:cs="Times New Roman"/>
          <w:sz w:val="24"/>
          <w:szCs w:val="24"/>
        </w:rPr>
        <w:t xml:space="preserve"> conservation strategy. However, the over</w:t>
      </w:r>
      <w:r w:rsidR="005F7382" w:rsidRPr="00863DC0">
        <w:rPr>
          <w:rFonts w:ascii="Times New Roman" w:hAnsi="Times New Roman" w:cs="Times New Roman"/>
          <w:sz w:val="24"/>
          <w:szCs w:val="24"/>
        </w:rPr>
        <w:t>-</w:t>
      </w:r>
      <w:r w:rsidRPr="00863DC0">
        <w:rPr>
          <w:rFonts w:ascii="Times New Roman" w:hAnsi="Times New Roman" w:cs="Times New Roman"/>
          <w:sz w:val="24"/>
          <w:szCs w:val="24"/>
        </w:rPr>
        <w:t xml:space="preserve">reliance on single species for being a significant source of tourism revenues is detrimental to the PAs mission for comprehensive conservation, </w:t>
      </w:r>
      <w:r w:rsidR="005F7382" w:rsidRPr="00863DC0">
        <w:rPr>
          <w:rFonts w:ascii="Times New Roman" w:hAnsi="Times New Roman" w:cs="Times New Roman"/>
          <w:sz w:val="24"/>
          <w:szCs w:val="24"/>
        </w:rPr>
        <w:t xml:space="preserve">it </w:t>
      </w:r>
      <w:r w:rsidRPr="00863DC0">
        <w:rPr>
          <w:rFonts w:ascii="Times New Roman" w:hAnsi="Times New Roman" w:cs="Times New Roman"/>
          <w:sz w:val="24"/>
          <w:szCs w:val="24"/>
        </w:rPr>
        <w:t>could lead to the neglect of less charismatic species and misalignment of conservation goals</w:t>
      </w:r>
      <w:r w:rsidR="005F7382" w:rsidRPr="00863DC0">
        <w:rPr>
          <w:rFonts w:ascii="Times New Roman" w:hAnsi="Times New Roman" w:cs="Times New Roman"/>
          <w:color w:val="000000" w:themeColor="text1"/>
          <w:sz w:val="24"/>
          <w:szCs w:val="24"/>
        </w:rPr>
        <w:t xml:space="preserve"> towards more revenue generating purposes</w:t>
      </w:r>
      <w:r w:rsidRPr="00863DC0">
        <w:rPr>
          <w:rFonts w:ascii="Times New Roman" w:hAnsi="Times New Roman" w:cs="Times New Roman"/>
          <w:sz w:val="24"/>
          <w:szCs w:val="24"/>
        </w:rPr>
        <w:t>.</w:t>
      </w:r>
    </w:p>
    <w:p w:rsidR="00273676" w:rsidRPr="00863DC0" w:rsidRDefault="00451C42" w:rsidP="00863DC0">
      <w:pPr>
        <w:spacing w:line="276" w:lineRule="auto"/>
        <w:rPr>
          <w:rFonts w:ascii="Times New Roman" w:hAnsi="Times New Roman" w:cs="Times New Roman"/>
          <w:color w:val="000000" w:themeColor="text1"/>
          <w:sz w:val="24"/>
          <w:szCs w:val="24"/>
        </w:rPr>
      </w:pPr>
      <w:r w:rsidRPr="00863DC0">
        <w:rPr>
          <w:rFonts w:ascii="Times New Roman" w:hAnsi="Times New Roman" w:cs="Times New Roman"/>
          <w:sz w:val="24"/>
          <w:szCs w:val="24"/>
        </w:rPr>
        <w:t xml:space="preserve">When it comes to the PAs network, this study has assessed the typology, size, and historical evolution of the federal or national-level PAs network for each of the four countries. All these elements put together are a mine of useful information to highlight the trend and future perspective of PAs in terms of the establishment and management of new PAs. </w:t>
      </w:r>
      <w:r w:rsidR="00F17E02" w:rsidRPr="00863DC0">
        <w:rPr>
          <w:rFonts w:ascii="Times New Roman" w:hAnsi="Times New Roman" w:cs="Times New Roman"/>
          <w:color w:val="000000" w:themeColor="text1"/>
          <w:sz w:val="24"/>
          <w:szCs w:val="24"/>
        </w:rPr>
        <w:t>Th</w:t>
      </w:r>
      <w:r w:rsidR="00A87238" w:rsidRPr="00863DC0">
        <w:rPr>
          <w:rFonts w:ascii="Times New Roman" w:hAnsi="Times New Roman" w:cs="Times New Roman"/>
          <w:color w:val="000000" w:themeColor="text1"/>
          <w:sz w:val="24"/>
          <w:szCs w:val="24"/>
        </w:rPr>
        <w:t>is study shows that th</w:t>
      </w:r>
      <w:r w:rsidR="00F17E02" w:rsidRPr="00863DC0">
        <w:rPr>
          <w:rFonts w:ascii="Times New Roman" w:hAnsi="Times New Roman" w:cs="Times New Roman"/>
          <w:color w:val="000000" w:themeColor="text1"/>
          <w:sz w:val="24"/>
          <w:szCs w:val="24"/>
        </w:rPr>
        <w:t xml:space="preserve">e </w:t>
      </w:r>
      <w:r w:rsidR="008843CD" w:rsidRPr="00863DC0">
        <w:rPr>
          <w:rFonts w:ascii="Times New Roman" w:hAnsi="Times New Roman" w:cs="Times New Roman"/>
          <w:color w:val="000000" w:themeColor="text1"/>
          <w:sz w:val="24"/>
          <w:szCs w:val="24"/>
        </w:rPr>
        <w:t xml:space="preserve">emerging types of PAs are more equipped to cope with modern conservation challenges and appeals of modern societies than their classical counterparts. Indeed, the </w:t>
      </w:r>
      <w:r w:rsidR="00F17E02" w:rsidRPr="00863DC0">
        <w:rPr>
          <w:rFonts w:ascii="Times New Roman" w:hAnsi="Times New Roman" w:cs="Times New Roman"/>
          <w:color w:val="000000" w:themeColor="text1"/>
          <w:sz w:val="24"/>
          <w:szCs w:val="24"/>
        </w:rPr>
        <w:t xml:space="preserve">early stages (1872-1950) of the NPs movement in the USA saw the establishment of the </w:t>
      </w:r>
      <w:r w:rsidR="00A87238" w:rsidRPr="00863DC0">
        <w:rPr>
          <w:rFonts w:ascii="Times New Roman" w:hAnsi="Times New Roman" w:cs="Times New Roman"/>
          <w:color w:val="000000" w:themeColor="text1"/>
          <w:sz w:val="24"/>
          <w:szCs w:val="24"/>
        </w:rPr>
        <w:t>classical</w:t>
      </w:r>
      <w:r w:rsidR="00F17E02" w:rsidRPr="00863DC0">
        <w:rPr>
          <w:rFonts w:ascii="Times New Roman" w:hAnsi="Times New Roman" w:cs="Times New Roman"/>
          <w:color w:val="000000" w:themeColor="text1"/>
          <w:sz w:val="24"/>
          <w:szCs w:val="24"/>
        </w:rPr>
        <w:t xml:space="preserve"> types of PAs such as National Monuments, National Parks, National Military Parks, National Memorials, and National Historical Parks for the protection and preservation of natural, historical, and cultural resources. Since 1950 the PAs system has evolved to embrace</w:t>
      </w:r>
      <w:r w:rsidR="00A87238" w:rsidRPr="00863DC0">
        <w:rPr>
          <w:rFonts w:ascii="Times New Roman" w:hAnsi="Times New Roman" w:cs="Times New Roman"/>
          <w:color w:val="000000" w:themeColor="text1"/>
          <w:sz w:val="24"/>
          <w:szCs w:val="24"/>
        </w:rPr>
        <w:t xml:space="preserve"> </w:t>
      </w:r>
      <w:r w:rsidR="00F17E02" w:rsidRPr="00863DC0">
        <w:rPr>
          <w:rFonts w:ascii="Times New Roman" w:hAnsi="Times New Roman" w:cs="Times New Roman"/>
          <w:color w:val="000000" w:themeColor="text1"/>
          <w:sz w:val="24"/>
          <w:szCs w:val="24"/>
        </w:rPr>
        <w:t>new types of PAs such as National Recreation Areas, National Scenic Trails, National Wild and Scenic Rivers and Riverways, National Lakeshores, etc.</w:t>
      </w:r>
      <w:r w:rsidR="008843CD" w:rsidRPr="00863DC0">
        <w:rPr>
          <w:rFonts w:ascii="Times New Roman" w:hAnsi="Times New Roman" w:cs="Times New Roman"/>
          <w:color w:val="000000" w:themeColor="text1"/>
          <w:sz w:val="24"/>
          <w:szCs w:val="24"/>
        </w:rPr>
        <w:t xml:space="preserve"> </w:t>
      </w:r>
      <w:r w:rsidR="00F17E02" w:rsidRPr="00863DC0">
        <w:rPr>
          <w:rFonts w:ascii="Times New Roman" w:hAnsi="Times New Roman" w:cs="Times New Roman"/>
          <w:color w:val="000000" w:themeColor="text1"/>
          <w:sz w:val="24"/>
          <w:szCs w:val="24"/>
        </w:rPr>
        <w:t>to provide recreational opportunities to the public while keeping them in an unimpaired state. The most recent decades have particularly brought a metamorphosis to the system with the emergence of Related Areas, a separate group of PAs types in the USA’s PA’s system.</w:t>
      </w:r>
      <w:r w:rsidR="00A87238" w:rsidRPr="00863DC0">
        <w:rPr>
          <w:rFonts w:ascii="Times New Roman" w:hAnsi="Times New Roman" w:cs="Times New Roman"/>
          <w:color w:val="000000" w:themeColor="text1"/>
          <w:sz w:val="24"/>
          <w:szCs w:val="24"/>
        </w:rPr>
        <w:t xml:space="preserve"> </w:t>
      </w:r>
      <w:r w:rsidR="00F17E02" w:rsidRPr="00863DC0">
        <w:rPr>
          <w:rFonts w:ascii="Times New Roman" w:hAnsi="Times New Roman" w:cs="Times New Roman"/>
          <w:color w:val="000000" w:themeColor="text1"/>
          <w:sz w:val="24"/>
          <w:szCs w:val="24"/>
        </w:rPr>
        <w:t xml:space="preserve">The trend of USA’s PAs can be understood from Figure </w:t>
      </w:r>
      <w:r w:rsidR="00A87238" w:rsidRPr="00863DC0">
        <w:rPr>
          <w:rFonts w:ascii="Times New Roman" w:hAnsi="Times New Roman" w:cs="Times New Roman"/>
          <w:color w:val="000000" w:themeColor="text1"/>
          <w:sz w:val="24"/>
          <w:szCs w:val="24"/>
        </w:rPr>
        <w:t>3.8</w:t>
      </w:r>
      <w:r w:rsidR="00F17E02" w:rsidRPr="00863DC0">
        <w:rPr>
          <w:rFonts w:ascii="Times New Roman" w:hAnsi="Times New Roman" w:cs="Times New Roman"/>
          <w:color w:val="000000" w:themeColor="text1"/>
          <w:sz w:val="24"/>
          <w:szCs w:val="24"/>
        </w:rPr>
        <w:t>-</w:t>
      </w:r>
      <w:r w:rsidR="00A87238" w:rsidRPr="00863DC0">
        <w:rPr>
          <w:rFonts w:ascii="Times New Roman" w:hAnsi="Times New Roman" w:cs="Times New Roman"/>
          <w:color w:val="000000" w:themeColor="text1"/>
          <w:sz w:val="24"/>
          <w:szCs w:val="24"/>
        </w:rPr>
        <w:t>Figure 3.11</w:t>
      </w:r>
      <w:r w:rsidR="00F17E02" w:rsidRPr="00863DC0">
        <w:rPr>
          <w:rFonts w:ascii="Times New Roman" w:hAnsi="Times New Roman" w:cs="Times New Roman"/>
          <w:color w:val="000000" w:themeColor="text1"/>
          <w:sz w:val="24"/>
          <w:szCs w:val="24"/>
        </w:rPr>
        <w:t xml:space="preserve"> which collectively show that the most promising types of PAs in th</w:t>
      </w:r>
      <w:r w:rsidR="008843CD" w:rsidRPr="00863DC0">
        <w:rPr>
          <w:rFonts w:ascii="Times New Roman" w:hAnsi="Times New Roman" w:cs="Times New Roman"/>
          <w:color w:val="000000" w:themeColor="text1"/>
          <w:sz w:val="24"/>
          <w:szCs w:val="24"/>
        </w:rPr>
        <w:t>is</w:t>
      </w:r>
      <w:r w:rsidR="00F17E02" w:rsidRPr="00863DC0">
        <w:rPr>
          <w:rFonts w:ascii="Times New Roman" w:hAnsi="Times New Roman" w:cs="Times New Roman"/>
          <w:color w:val="000000" w:themeColor="text1"/>
          <w:sz w:val="24"/>
          <w:szCs w:val="24"/>
        </w:rPr>
        <w:t xml:space="preserve"> more competitive and challenging future, are generally going to be those with more considerate requirements about land coverage and having high efficiency in protecting vulnerable landscapes and habitats. Lineal types of PAs (National Wild and Scenic Rivers and Riverways, National Scenic Trails, etc.), National Monuments, National Historical Parks, National Historic Sites, and National Memorials among others are well equipped to respond to that requirement. The high standard deviation which suggests a lot of variances on the average size observed among the most conventional type of PAs in the USA is</w:t>
      </w:r>
      <w:r w:rsidR="00A87238" w:rsidRPr="00863DC0">
        <w:rPr>
          <w:rFonts w:ascii="Times New Roman" w:hAnsi="Times New Roman" w:cs="Times New Roman"/>
          <w:color w:val="000000" w:themeColor="text1"/>
          <w:sz w:val="24"/>
          <w:szCs w:val="24"/>
        </w:rPr>
        <w:t xml:space="preserve"> also</w:t>
      </w:r>
      <w:r w:rsidR="00F17E02" w:rsidRPr="00863DC0">
        <w:rPr>
          <w:rFonts w:ascii="Times New Roman" w:hAnsi="Times New Roman" w:cs="Times New Roman"/>
          <w:color w:val="000000" w:themeColor="text1"/>
          <w:sz w:val="24"/>
          <w:szCs w:val="24"/>
        </w:rPr>
        <w:t xml:space="preserve"> a sign of adaptation</w:t>
      </w:r>
      <w:r w:rsidR="00A87238" w:rsidRPr="00863DC0">
        <w:rPr>
          <w:rFonts w:ascii="Times New Roman" w:hAnsi="Times New Roman" w:cs="Times New Roman"/>
          <w:color w:val="000000" w:themeColor="text1"/>
          <w:sz w:val="24"/>
          <w:szCs w:val="24"/>
        </w:rPr>
        <w:t xml:space="preserve"> of classical types of PAs</w:t>
      </w:r>
      <w:r w:rsidR="00F17E02" w:rsidRPr="00863DC0">
        <w:rPr>
          <w:rFonts w:ascii="Times New Roman" w:hAnsi="Times New Roman" w:cs="Times New Roman"/>
          <w:color w:val="000000" w:themeColor="text1"/>
          <w:sz w:val="24"/>
          <w:szCs w:val="24"/>
        </w:rPr>
        <w:t xml:space="preserve"> to that new reality</w:t>
      </w:r>
      <w:r w:rsidR="00273676" w:rsidRPr="00863DC0">
        <w:rPr>
          <w:rFonts w:ascii="Times New Roman" w:hAnsi="Times New Roman" w:cs="Times New Roman"/>
          <w:color w:val="000000" w:themeColor="text1"/>
          <w:sz w:val="24"/>
          <w:szCs w:val="24"/>
        </w:rPr>
        <w:t>.</w:t>
      </w:r>
    </w:p>
    <w:p w:rsidR="00F17E02" w:rsidRPr="00FF4BE1" w:rsidRDefault="00F17E02" w:rsidP="00F17E02">
      <w:pPr>
        <w:spacing w:line="240" w:lineRule="auto"/>
        <w:rPr>
          <w:rFonts w:ascii="Times New Roman" w:hAnsi="Times New Roman" w:cs="Times New Roman"/>
          <w:color w:val="000000" w:themeColor="text1"/>
          <w:sz w:val="24"/>
          <w:szCs w:val="24"/>
          <w:highlight w:val="yellow"/>
        </w:rPr>
      </w:pPr>
    </w:p>
    <w:p w:rsidR="00F17E02" w:rsidRPr="00863DC0" w:rsidRDefault="00F17E02" w:rsidP="00F17E02">
      <w:pPr>
        <w:pStyle w:val="Heading1"/>
        <w:numPr>
          <w:ilvl w:val="0"/>
          <w:numId w:val="0"/>
        </w:numPr>
        <w:ind w:left="432" w:hanging="432"/>
      </w:pPr>
      <w:r w:rsidRPr="00863DC0">
        <w:t>Funding</w:t>
      </w:r>
    </w:p>
    <w:p w:rsidR="00F17E02" w:rsidRPr="00863DC0" w:rsidRDefault="00F17E02" w:rsidP="00F17E02">
      <w:pPr>
        <w:spacing w:line="240" w:lineRule="auto"/>
        <w:rPr>
          <w:rFonts w:ascii="Times New Roman" w:hAnsi="Times New Roman" w:cs="Times New Roman"/>
          <w:color w:val="000000" w:themeColor="text1"/>
          <w:sz w:val="24"/>
          <w:szCs w:val="24"/>
        </w:rPr>
      </w:pPr>
      <w:r w:rsidRPr="00863DC0">
        <w:rPr>
          <w:rFonts w:ascii="Times New Roman" w:hAnsi="Times New Roman" w:cs="Times New Roman"/>
          <w:color w:val="000000" w:themeColor="text1"/>
          <w:sz w:val="24"/>
          <w:szCs w:val="24"/>
        </w:rPr>
        <w:t>Not Applicable.</w:t>
      </w:r>
    </w:p>
    <w:p w:rsidR="00F17E02" w:rsidRPr="00863DC0" w:rsidRDefault="00F17E02" w:rsidP="00F17E02">
      <w:pPr>
        <w:pStyle w:val="Heading1"/>
        <w:numPr>
          <w:ilvl w:val="0"/>
          <w:numId w:val="0"/>
        </w:numPr>
        <w:ind w:left="432" w:hanging="432"/>
      </w:pPr>
      <w:r w:rsidRPr="00863DC0">
        <w:lastRenderedPageBreak/>
        <w:t>Declaration of competing interest</w:t>
      </w:r>
    </w:p>
    <w:p w:rsidR="00F17E02" w:rsidRDefault="00F17E02" w:rsidP="00F17E02">
      <w:pPr>
        <w:spacing w:line="240" w:lineRule="auto"/>
        <w:rPr>
          <w:rFonts w:ascii="Times New Roman" w:hAnsi="Times New Roman" w:cs="Times New Roman"/>
          <w:color w:val="000000" w:themeColor="text1"/>
          <w:sz w:val="24"/>
          <w:szCs w:val="24"/>
        </w:rPr>
      </w:pPr>
      <w:r w:rsidRPr="00863DC0">
        <w:rPr>
          <w:rFonts w:ascii="Times New Roman" w:hAnsi="Times New Roman" w:cs="Times New Roman"/>
          <w:color w:val="000000" w:themeColor="text1"/>
          <w:sz w:val="24"/>
          <w:szCs w:val="24"/>
        </w:rPr>
        <w:t>The authors declare that they have no conflicts of interest.</w:t>
      </w:r>
    </w:p>
    <w:p w:rsidR="00F17E02" w:rsidRDefault="00F17E02" w:rsidP="00F17E02">
      <w:pPr>
        <w:spacing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rsidR="00F17E02" w:rsidRDefault="00F17E02" w:rsidP="00F17E02">
      <w:pPr>
        <w:pStyle w:val="Heading1"/>
        <w:numPr>
          <w:ilvl w:val="0"/>
          <w:numId w:val="0"/>
        </w:numPr>
        <w:ind w:left="432" w:hanging="432"/>
      </w:pPr>
      <w:r>
        <w:lastRenderedPageBreak/>
        <w:t>References</w:t>
      </w:r>
    </w:p>
    <w:p w:rsidR="0068651E" w:rsidRPr="0068651E" w:rsidRDefault="00F17E02" w:rsidP="0068651E">
      <w:pPr>
        <w:widowControl w:val="0"/>
        <w:autoSpaceDE w:val="0"/>
        <w:autoSpaceDN w:val="0"/>
        <w:adjustRightInd w:val="0"/>
        <w:spacing w:line="240" w:lineRule="auto"/>
        <w:rPr>
          <w:rFonts w:ascii="Times New Roman" w:hAnsi="Times New Roman" w:cs="Times New Roman"/>
          <w:noProof/>
          <w:kern w:val="0"/>
          <w:szCs w:val="24"/>
        </w:rPr>
      </w:pPr>
      <w:r w:rsidRPr="007B492C">
        <w:rPr>
          <w:rFonts w:ascii="Times New Roman" w:hAnsi="Times New Roman" w:cs="Times New Roman"/>
          <w:color w:val="00B0F0"/>
        </w:rPr>
        <w:fldChar w:fldCharType="begin" w:fldLock="1"/>
      </w:r>
      <w:r w:rsidRPr="007B492C">
        <w:rPr>
          <w:rFonts w:ascii="Times New Roman" w:hAnsi="Times New Roman" w:cs="Times New Roman"/>
          <w:color w:val="00B0F0"/>
        </w:rPr>
        <w:instrText xml:space="preserve">ADDIN Mendeley Bibliography CSL_BIBLIOGRAPHY </w:instrText>
      </w:r>
      <w:r w:rsidRPr="007B492C">
        <w:rPr>
          <w:rFonts w:ascii="Times New Roman" w:hAnsi="Times New Roman" w:cs="Times New Roman"/>
          <w:color w:val="00B0F0"/>
        </w:rPr>
        <w:fldChar w:fldCharType="separate"/>
      </w:r>
      <w:r w:rsidR="0068651E" w:rsidRPr="0068651E">
        <w:rPr>
          <w:rFonts w:ascii="Times New Roman" w:hAnsi="Times New Roman" w:cs="Times New Roman"/>
          <w:noProof/>
          <w:kern w:val="0"/>
          <w:szCs w:val="24"/>
        </w:rPr>
        <w:t xml:space="preserve">Acreman, M. </w:t>
      </w:r>
      <w:r w:rsidR="0068651E" w:rsidRPr="0068651E">
        <w:rPr>
          <w:rFonts w:ascii="Times New Roman" w:hAnsi="Times New Roman" w:cs="Times New Roman"/>
          <w:i/>
          <w:iCs/>
          <w:noProof/>
          <w:kern w:val="0"/>
          <w:szCs w:val="24"/>
        </w:rPr>
        <w:t>et al.</w:t>
      </w:r>
      <w:r w:rsidR="0068651E" w:rsidRPr="0068651E">
        <w:rPr>
          <w:rFonts w:ascii="Times New Roman" w:hAnsi="Times New Roman" w:cs="Times New Roman"/>
          <w:noProof/>
          <w:kern w:val="0"/>
          <w:szCs w:val="24"/>
        </w:rPr>
        <w:t xml:space="preserve"> (2019) ‘Protected areas and freshwater biodiversity: a novel systematic review distils eight lessons for effective conservation’, </w:t>
      </w:r>
      <w:r w:rsidR="0068651E" w:rsidRPr="0068651E">
        <w:rPr>
          <w:rFonts w:ascii="Times New Roman" w:hAnsi="Times New Roman" w:cs="Times New Roman"/>
          <w:i/>
          <w:iCs/>
          <w:noProof/>
          <w:kern w:val="0"/>
          <w:szCs w:val="24"/>
        </w:rPr>
        <w:t>Conservation Letters</w:t>
      </w:r>
      <w:r w:rsidR="0068651E" w:rsidRPr="0068651E">
        <w:rPr>
          <w:rFonts w:ascii="Times New Roman" w:hAnsi="Times New Roman" w:cs="Times New Roman"/>
          <w:noProof/>
          <w:kern w:val="0"/>
          <w:szCs w:val="24"/>
        </w:rPr>
        <w:t>, 1(7), pp. 1–14. doi: 10.1111/conl.12684.</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Adams, V. M., Iacona, G. D. and Possingham, H. P. (2019) ‘Weighing the benefits of expanding protected areas versus managing existing ones’, </w:t>
      </w:r>
      <w:r w:rsidRPr="0068651E">
        <w:rPr>
          <w:rFonts w:ascii="Times New Roman" w:hAnsi="Times New Roman" w:cs="Times New Roman"/>
          <w:i/>
          <w:iCs/>
          <w:noProof/>
          <w:kern w:val="0"/>
          <w:szCs w:val="24"/>
        </w:rPr>
        <w:t>Nature Sustainability</w:t>
      </w:r>
      <w:r w:rsidRPr="0068651E">
        <w:rPr>
          <w:rFonts w:ascii="Times New Roman" w:hAnsi="Times New Roman" w:cs="Times New Roman"/>
          <w:noProof/>
          <w:kern w:val="0"/>
          <w:szCs w:val="24"/>
        </w:rPr>
        <w:t>, 2(5), pp. 404–411. doi: 10.1038/s41893-019-0275-5.</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167EF2">
        <w:rPr>
          <w:rFonts w:ascii="Times New Roman" w:hAnsi="Times New Roman" w:cs="Times New Roman"/>
          <w:noProof/>
          <w:kern w:val="0"/>
          <w:szCs w:val="24"/>
          <w:lang w:val="fr-FR"/>
        </w:rPr>
        <w:t xml:space="preserve">Banana, A. Y. </w:t>
      </w:r>
      <w:r w:rsidRPr="00167EF2">
        <w:rPr>
          <w:rFonts w:ascii="Times New Roman" w:hAnsi="Times New Roman" w:cs="Times New Roman"/>
          <w:i/>
          <w:iCs/>
          <w:noProof/>
          <w:kern w:val="0"/>
          <w:szCs w:val="24"/>
          <w:lang w:val="fr-FR"/>
        </w:rPr>
        <w:t>et al.</w:t>
      </w:r>
      <w:r w:rsidRPr="00167EF2">
        <w:rPr>
          <w:rFonts w:ascii="Times New Roman" w:hAnsi="Times New Roman" w:cs="Times New Roman"/>
          <w:noProof/>
          <w:kern w:val="0"/>
          <w:szCs w:val="24"/>
          <w:lang w:val="fr-FR"/>
        </w:rPr>
        <w:t xml:space="preserve"> </w:t>
      </w:r>
      <w:r w:rsidRPr="0068651E">
        <w:rPr>
          <w:rFonts w:ascii="Times New Roman" w:hAnsi="Times New Roman" w:cs="Times New Roman"/>
          <w:noProof/>
          <w:kern w:val="0"/>
          <w:szCs w:val="24"/>
        </w:rPr>
        <w:t xml:space="preserve">(2014) </w:t>
      </w:r>
      <w:r w:rsidRPr="0068651E">
        <w:rPr>
          <w:rFonts w:ascii="Times New Roman" w:hAnsi="Times New Roman" w:cs="Times New Roman"/>
          <w:i/>
          <w:iCs/>
          <w:noProof/>
          <w:kern w:val="0"/>
          <w:szCs w:val="24"/>
        </w:rPr>
        <w:t>A review of Uganda’s national policies relevant to climate change adaptation and mitigation-Insights from Mount Elgon</w:t>
      </w:r>
      <w:r w:rsidRPr="0068651E">
        <w:rPr>
          <w:rFonts w:ascii="Times New Roman" w:hAnsi="Times New Roman" w:cs="Times New Roman"/>
          <w:noProof/>
          <w:kern w:val="0"/>
          <w:szCs w:val="24"/>
        </w:rPr>
        <w:t>.</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BIOFIN, REMA and UNDP (2017) </w:t>
      </w:r>
      <w:r w:rsidRPr="0068651E">
        <w:rPr>
          <w:rFonts w:ascii="Times New Roman" w:hAnsi="Times New Roman" w:cs="Times New Roman"/>
          <w:i/>
          <w:iCs/>
          <w:noProof/>
          <w:kern w:val="0"/>
          <w:szCs w:val="24"/>
        </w:rPr>
        <w:t>Rwanda biodiversity finance initiative biodiversity finance policy and institutional review</w:t>
      </w:r>
      <w:r w:rsidRPr="0068651E">
        <w:rPr>
          <w:rFonts w:ascii="Times New Roman" w:hAnsi="Times New Roman" w:cs="Times New Roman"/>
          <w:noProof/>
          <w:kern w:val="0"/>
          <w:szCs w:val="24"/>
        </w:rPr>
        <w:t>. Available at: https://www.biofin.org/sites/default/files/content/knowledge_products/Policy %26 Institutional Review Final report.pdf.</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Bonilla-Mejía, L. and Higuera-Mendieta, I. (2019) ‘Protected areas under weak institutions: Evidence from Colombia’, </w:t>
      </w:r>
      <w:r w:rsidRPr="0068651E">
        <w:rPr>
          <w:rFonts w:ascii="Times New Roman" w:hAnsi="Times New Roman" w:cs="Times New Roman"/>
          <w:i/>
          <w:iCs/>
          <w:noProof/>
          <w:kern w:val="0"/>
          <w:szCs w:val="24"/>
        </w:rPr>
        <w:t>World Development</w:t>
      </w:r>
      <w:r w:rsidRPr="0068651E">
        <w:rPr>
          <w:rFonts w:ascii="Times New Roman" w:hAnsi="Times New Roman" w:cs="Times New Roman"/>
          <w:noProof/>
          <w:kern w:val="0"/>
          <w:szCs w:val="24"/>
        </w:rPr>
        <w:t>, 122, pp. 585–596. doi: 10.1016/j.worlddev.2019.06.019.</w:t>
      </w:r>
    </w:p>
    <w:p w:rsidR="0068651E" w:rsidRPr="00167EF2" w:rsidRDefault="0068651E" w:rsidP="0068651E">
      <w:pPr>
        <w:widowControl w:val="0"/>
        <w:autoSpaceDE w:val="0"/>
        <w:autoSpaceDN w:val="0"/>
        <w:adjustRightInd w:val="0"/>
        <w:spacing w:line="240" w:lineRule="auto"/>
        <w:rPr>
          <w:rFonts w:ascii="Times New Roman" w:hAnsi="Times New Roman" w:cs="Times New Roman"/>
          <w:noProof/>
          <w:kern w:val="0"/>
          <w:szCs w:val="24"/>
          <w:lang w:val="fr-FR"/>
        </w:rPr>
      </w:pPr>
      <w:r w:rsidRPr="00167EF2">
        <w:rPr>
          <w:rFonts w:ascii="Times New Roman" w:hAnsi="Times New Roman" w:cs="Times New Roman"/>
          <w:noProof/>
          <w:kern w:val="0"/>
          <w:szCs w:val="24"/>
          <w:lang w:val="fr-FR"/>
        </w:rPr>
        <w:t xml:space="preserve">Cabinet du Président de la République (2010) </w:t>
      </w:r>
      <w:r w:rsidRPr="00167EF2">
        <w:rPr>
          <w:rFonts w:ascii="Times New Roman" w:hAnsi="Times New Roman" w:cs="Times New Roman"/>
          <w:i/>
          <w:iCs/>
          <w:noProof/>
          <w:kern w:val="0"/>
          <w:szCs w:val="24"/>
          <w:lang w:val="fr-FR"/>
        </w:rPr>
        <w:t>Décret n° 10/15 du 10 avril 2010 fixant les statuts d’un établissement public dénommé Institut Congolais pour la Conservation de la Nature en sigle « I.C.C.N. »</w:t>
      </w:r>
      <w:r w:rsidRPr="00167EF2">
        <w:rPr>
          <w:rFonts w:ascii="Times New Roman" w:hAnsi="Times New Roman" w:cs="Times New Roman"/>
          <w:noProof/>
          <w:kern w:val="0"/>
          <w:szCs w:val="24"/>
          <w:lang w:val="fr-FR"/>
        </w:rPr>
        <w:t xml:space="preserve">, </w:t>
      </w:r>
      <w:r w:rsidRPr="00167EF2">
        <w:rPr>
          <w:rFonts w:ascii="Times New Roman" w:hAnsi="Times New Roman" w:cs="Times New Roman"/>
          <w:i/>
          <w:iCs/>
          <w:noProof/>
          <w:kern w:val="0"/>
          <w:szCs w:val="24"/>
          <w:lang w:val="fr-FR"/>
        </w:rPr>
        <w:t>Journal Officiel</w:t>
      </w:r>
      <w:r w:rsidRPr="00167EF2">
        <w:rPr>
          <w:rFonts w:ascii="Times New Roman" w:hAnsi="Times New Roman" w:cs="Times New Roman"/>
          <w:noProof/>
          <w:kern w:val="0"/>
          <w:szCs w:val="24"/>
          <w:lang w:val="fr-FR"/>
        </w:rPr>
        <w:t>. doi: 10.29053/2413-7138/2019/v7a10.</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Colwell, R. </w:t>
      </w:r>
      <w:r w:rsidRPr="0068651E">
        <w:rPr>
          <w:rFonts w:ascii="Times New Roman" w:hAnsi="Times New Roman" w:cs="Times New Roman"/>
          <w:i/>
          <w:iCs/>
          <w:noProof/>
          <w:kern w:val="0"/>
          <w:szCs w:val="24"/>
        </w:rPr>
        <w:t>et al.</w:t>
      </w:r>
      <w:r w:rsidRPr="0068651E">
        <w:rPr>
          <w:rFonts w:ascii="Times New Roman" w:hAnsi="Times New Roman" w:cs="Times New Roman"/>
          <w:noProof/>
          <w:kern w:val="0"/>
          <w:szCs w:val="24"/>
        </w:rPr>
        <w:t xml:space="preserve"> (2014) ‘Revisiting Leopold: Resource stewardship in the national parks’, </w:t>
      </w:r>
      <w:r w:rsidRPr="0068651E">
        <w:rPr>
          <w:rFonts w:ascii="Times New Roman" w:hAnsi="Times New Roman" w:cs="Times New Roman"/>
          <w:i/>
          <w:iCs/>
          <w:noProof/>
          <w:kern w:val="0"/>
          <w:szCs w:val="24"/>
        </w:rPr>
        <w:t>Parks</w:t>
      </w:r>
      <w:r w:rsidRPr="0068651E">
        <w:rPr>
          <w:rFonts w:ascii="Times New Roman" w:hAnsi="Times New Roman" w:cs="Times New Roman"/>
          <w:noProof/>
          <w:kern w:val="0"/>
          <w:szCs w:val="24"/>
        </w:rPr>
        <w:t>, 20(2), pp. 16–23. doi: 10.2305/IUCN.CH.2014.PARKS-20-2.DRC.en.</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Cooke, R. </w:t>
      </w:r>
      <w:r w:rsidRPr="0068651E">
        <w:rPr>
          <w:rFonts w:ascii="Times New Roman" w:hAnsi="Times New Roman" w:cs="Times New Roman"/>
          <w:i/>
          <w:iCs/>
          <w:noProof/>
          <w:kern w:val="0"/>
          <w:szCs w:val="24"/>
        </w:rPr>
        <w:t>et al.</w:t>
      </w:r>
      <w:r w:rsidRPr="0068651E">
        <w:rPr>
          <w:rFonts w:ascii="Times New Roman" w:hAnsi="Times New Roman" w:cs="Times New Roman"/>
          <w:noProof/>
          <w:kern w:val="0"/>
          <w:szCs w:val="24"/>
        </w:rPr>
        <w:t xml:space="preserve"> (2023) ‘Protected areas support more species than unprotected areas in Great Britain, but lose them equally rapidly’, </w:t>
      </w:r>
      <w:r w:rsidRPr="0068651E">
        <w:rPr>
          <w:rFonts w:ascii="Times New Roman" w:hAnsi="Times New Roman" w:cs="Times New Roman"/>
          <w:i/>
          <w:iCs/>
          <w:noProof/>
          <w:kern w:val="0"/>
          <w:szCs w:val="24"/>
        </w:rPr>
        <w:t>Biological Conservation</w:t>
      </w:r>
      <w:r w:rsidRPr="0068651E">
        <w:rPr>
          <w:rFonts w:ascii="Times New Roman" w:hAnsi="Times New Roman" w:cs="Times New Roman"/>
          <w:noProof/>
          <w:kern w:val="0"/>
          <w:szCs w:val="24"/>
        </w:rPr>
        <w:t>, 278(December 2022), p. 109884. doi: 10.1016/j.biocon.2022.109884.</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DeFries, R. and Nagendra, H. (2017) ‘Ecosystem management as a wicked problem’, </w:t>
      </w:r>
      <w:r w:rsidRPr="0068651E">
        <w:rPr>
          <w:rFonts w:ascii="Times New Roman" w:hAnsi="Times New Roman" w:cs="Times New Roman"/>
          <w:i/>
          <w:iCs/>
          <w:noProof/>
          <w:kern w:val="0"/>
          <w:szCs w:val="24"/>
        </w:rPr>
        <w:t>Science</w:t>
      </w:r>
      <w:r w:rsidRPr="0068651E">
        <w:rPr>
          <w:rFonts w:ascii="Times New Roman" w:hAnsi="Times New Roman" w:cs="Times New Roman"/>
          <w:noProof/>
          <w:kern w:val="0"/>
          <w:szCs w:val="24"/>
        </w:rPr>
        <w:t>, 356(6335), pp. 265–270. doi: 10.1126/science.aal1950.</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Desbureaux, S. (2021) ‘Subjective modeling choices and the robustness of impact evaluations in conservation science’, </w:t>
      </w:r>
      <w:r w:rsidRPr="0068651E">
        <w:rPr>
          <w:rFonts w:ascii="Times New Roman" w:hAnsi="Times New Roman" w:cs="Times New Roman"/>
          <w:i/>
          <w:iCs/>
          <w:noProof/>
          <w:kern w:val="0"/>
          <w:szCs w:val="24"/>
        </w:rPr>
        <w:t>Conservation Biology</w:t>
      </w:r>
      <w:r w:rsidRPr="0068651E">
        <w:rPr>
          <w:rFonts w:ascii="Times New Roman" w:hAnsi="Times New Roman" w:cs="Times New Roman"/>
          <w:noProof/>
          <w:kern w:val="0"/>
          <w:szCs w:val="24"/>
        </w:rPr>
        <w:t>, 35(5), pp. 1615–1626. doi: 10.1111/cobi.13728.</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Djomo Nana, E. (2021) ‘The paradigm of conservation in Central Africa is failing: An analysis of the current situation’, </w:t>
      </w:r>
      <w:r w:rsidRPr="0068651E">
        <w:rPr>
          <w:rFonts w:ascii="Times New Roman" w:hAnsi="Times New Roman" w:cs="Times New Roman"/>
          <w:i/>
          <w:iCs/>
          <w:noProof/>
          <w:kern w:val="0"/>
          <w:szCs w:val="24"/>
        </w:rPr>
        <w:t>Academia Letters</w:t>
      </w:r>
      <w:r w:rsidRPr="0068651E">
        <w:rPr>
          <w:rFonts w:ascii="Times New Roman" w:hAnsi="Times New Roman" w:cs="Times New Roman"/>
          <w:noProof/>
          <w:kern w:val="0"/>
          <w:szCs w:val="24"/>
        </w:rPr>
        <w:t>, (August), p. Article 3349. doi: 10.20935/al3349.</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167EF2">
        <w:rPr>
          <w:rFonts w:ascii="Times New Roman" w:hAnsi="Times New Roman" w:cs="Times New Roman"/>
          <w:noProof/>
          <w:kern w:val="0"/>
          <w:szCs w:val="24"/>
          <w:lang w:val="fr-FR"/>
        </w:rPr>
        <w:t xml:space="preserve">Elsen, P. R. </w:t>
      </w:r>
      <w:r w:rsidRPr="00167EF2">
        <w:rPr>
          <w:rFonts w:ascii="Times New Roman" w:hAnsi="Times New Roman" w:cs="Times New Roman"/>
          <w:i/>
          <w:iCs/>
          <w:noProof/>
          <w:kern w:val="0"/>
          <w:szCs w:val="24"/>
          <w:lang w:val="fr-FR"/>
        </w:rPr>
        <w:t>et al.</w:t>
      </w:r>
      <w:r w:rsidRPr="00167EF2">
        <w:rPr>
          <w:rFonts w:ascii="Times New Roman" w:hAnsi="Times New Roman" w:cs="Times New Roman"/>
          <w:noProof/>
          <w:kern w:val="0"/>
          <w:szCs w:val="24"/>
          <w:lang w:val="fr-FR"/>
        </w:rPr>
        <w:t xml:space="preserve"> </w:t>
      </w:r>
      <w:r w:rsidRPr="0068651E">
        <w:rPr>
          <w:rFonts w:ascii="Times New Roman" w:hAnsi="Times New Roman" w:cs="Times New Roman"/>
          <w:noProof/>
          <w:kern w:val="0"/>
          <w:szCs w:val="24"/>
        </w:rPr>
        <w:t xml:space="preserve">(2020) ‘Keeping pace with climate change in global terrestrial protected areas’, </w:t>
      </w:r>
      <w:r w:rsidRPr="0068651E">
        <w:rPr>
          <w:rFonts w:ascii="Times New Roman" w:hAnsi="Times New Roman" w:cs="Times New Roman"/>
          <w:i/>
          <w:iCs/>
          <w:noProof/>
          <w:kern w:val="0"/>
          <w:szCs w:val="24"/>
        </w:rPr>
        <w:t>Science Advances</w:t>
      </w:r>
      <w:r w:rsidRPr="0068651E">
        <w:rPr>
          <w:rFonts w:ascii="Times New Roman" w:hAnsi="Times New Roman" w:cs="Times New Roman"/>
          <w:noProof/>
          <w:kern w:val="0"/>
          <w:szCs w:val="24"/>
        </w:rPr>
        <w:t>, 6(25). doi: 10.1126/sciadv.aay0814.</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Foresta, R. A. (2013) </w:t>
      </w:r>
      <w:r w:rsidRPr="0068651E">
        <w:rPr>
          <w:rFonts w:ascii="Times New Roman" w:hAnsi="Times New Roman" w:cs="Times New Roman"/>
          <w:i/>
          <w:iCs/>
          <w:noProof/>
          <w:kern w:val="0"/>
          <w:szCs w:val="24"/>
        </w:rPr>
        <w:t>America’s national parks and their keepers</w:t>
      </w:r>
      <w:r w:rsidRPr="0068651E">
        <w:rPr>
          <w:rFonts w:ascii="Times New Roman" w:hAnsi="Times New Roman" w:cs="Times New Roman"/>
          <w:noProof/>
          <w:kern w:val="0"/>
          <w:szCs w:val="24"/>
        </w:rPr>
        <w:t xml:space="preserve">, </w:t>
      </w:r>
      <w:r w:rsidRPr="0068651E">
        <w:rPr>
          <w:rFonts w:ascii="Times New Roman" w:hAnsi="Times New Roman" w:cs="Times New Roman"/>
          <w:i/>
          <w:iCs/>
          <w:noProof/>
          <w:kern w:val="0"/>
          <w:szCs w:val="24"/>
        </w:rPr>
        <w:t>America’s National Parks and Their Keepers</w:t>
      </w:r>
      <w:r w:rsidRPr="0068651E">
        <w:rPr>
          <w:rFonts w:ascii="Times New Roman" w:hAnsi="Times New Roman" w:cs="Times New Roman"/>
          <w:noProof/>
          <w:kern w:val="0"/>
          <w:szCs w:val="24"/>
        </w:rPr>
        <w:t>. New York and London: Resources for the Future. doi: 10.4324/9781315064208.</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Hansen, J. </w:t>
      </w:r>
      <w:r w:rsidRPr="0068651E">
        <w:rPr>
          <w:rFonts w:ascii="Times New Roman" w:hAnsi="Times New Roman" w:cs="Times New Roman"/>
          <w:i/>
          <w:iCs/>
          <w:noProof/>
          <w:kern w:val="0"/>
          <w:szCs w:val="24"/>
        </w:rPr>
        <w:t>et al.</w:t>
      </w:r>
      <w:r w:rsidRPr="0068651E">
        <w:rPr>
          <w:rFonts w:ascii="Times New Roman" w:hAnsi="Times New Roman" w:cs="Times New Roman"/>
          <w:noProof/>
          <w:kern w:val="0"/>
          <w:szCs w:val="24"/>
        </w:rPr>
        <w:t xml:space="preserve"> (2006) ‘Global temperature change’, </w:t>
      </w:r>
      <w:r w:rsidRPr="0068651E">
        <w:rPr>
          <w:rFonts w:ascii="Times New Roman" w:hAnsi="Times New Roman" w:cs="Times New Roman"/>
          <w:i/>
          <w:iCs/>
          <w:noProof/>
          <w:kern w:val="0"/>
          <w:szCs w:val="24"/>
        </w:rPr>
        <w:t>Proceedings of the National Academy of Sciences of the United States of America</w:t>
      </w:r>
      <w:r w:rsidRPr="0068651E">
        <w:rPr>
          <w:rFonts w:ascii="Times New Roman" w:hAnsi="Times New Roman" w:cs="Times New Roman"/>
          <w:noProof/>
          <w:kern w:val="0"/>
          <w:szCs w:val="24"/>
        </w:rPr>
        <w:t>, 103(39), pp. 14288–14293. doi: 10.1073/pnas.0606291103.</w:t>
      </w:r>
    </w:p>
    <w:p w:rsidR="0068651E" w:rsidRPr="00167EF2" w:rsidRDefault="0068651E" w:rsidP="0068651E">
      <w:pPr>
        <w:widowControl w:val="0"/>
        <w:autoSpaceDE w:val="0"/>
        <w:autoSpaceDN w:val="0"/>
        <w:adjustRightInd w:val="0"/>
        <w:spacing w:line="240" w:lineRule="auto"/>
        <w:rPr>
          <w:rFonts w:ascii="Times New Roman" w:hAnsi="Times New Roman" w:cs="Times New Roman"/>
          <w:noProof/>
          <w:kern w:val="0"/>
          <w:szCs w:val="24"/>
          <w:lang w:val="fr-FR"/>
        </w:rPr>
      </w:pPr>
      <w:r w:rsidRPr="00167EF2">
        <w:rPr>
          <w:rFonts w:ascii="Times New Roman" w:hAnsi="Times New Roman" w:cs="Times New Roman"/>
          <w:noProof/>
          <w:kern w:val="0"/>
          <w:szCs w:val="24"/>
          <w:lang w:val="fr-FR"/>
        </w:rPr>
        <w:t xml:space="preserve">Harroy, J.-P. (1934) ‘Contribution à l’histoire jusque 1934 de la création de l’institut des parcs nationaux du Congo belge’, </w:t>
      </w:r>
      <w:r w:rsidRPr="00167EF2">
        <w:rPr>
          <w:rFonts w:ascii="Times New Roman" w:hAnsi="Times New Roman" w:cs="Times New Roman"/>
          <w:i/>
          <w:iCs/>
          <w:noProof/>
          <w:kern w:val="0"/>
          <w:szCs w:val="24"/>
          <w:lang w:val="fr-FR"/>
        </w:rPr>
        <w:t>Civilisations</w:t>
      </w:r>
      <w:r w:rsidRPr="00167EF2">
        <w:rPr>
          <w:rFonts w:ascii="Times New Roman" w:hAnsi="Times New Roman" w:cs="Times New Roman"/>
          <w:noProof/>
          <w:kern w:val="0"/>
          <w:szCs w:val="24"/>
          <w:lang w:val="fr-FR"/>
        </w:rPr>
        <w:t>, (41), pp. 427–442. doi: 10.4000/civilisations.1732.</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Hellmann, D. J. (2017) ‘The National Park Service at 100’, </w:t>
      </w:r>
      <w:r w:rsidRPr="0068651E">
        <w:rPr>
          <w:rFonts w:ascii="Times New Roman" w:hAnsi="Times New Roman" w:cs="Times New Roman"/>
          <w:i/>
          <w:iCs/>
          <w:noProof/>
          <w:kern w:val="0"/>
          <w:szCs w:val="24"/>
        </w:rPr>
        <w:t>Akron Law Review</w:t>
      </w:r>
      <w:r w:rsidRPr="0068651E">
        <w:rPr>
          <w:rFonts w:ascii="Times New Roman" w:hAnsi="Times New Roman" w:cs="Times New Roman"/>
          <w:noProof/>
          <w:kern w:val="0"/>
          <w:szCs w:val="24"/>
        </w:rPr>
        <w:t>, 50(1), pp. 527–528. doi: 10.2307/j.ctt4cgjr2.33.</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167EF2">
        <w:rPr>
          <w:rFonts w:ascii="Times New Roman" w:hAnsi="Times New Roman" w:cs="Times New Roman"/>
          <w:noProof/>
          <w:kern w:val="0"/>
          <w:szCs w:val="24"/>
          <w:lang w:val="fr-FR"/>
        </w:rPr>
        <w:t xml:space="preserve">Henry, C. M. </w:t>
      </w:r>
      <w:r w:rsidRPr="00167EF2">
        <w:rPr>
          <w:rFonts w:ascii="Times New Roman" w:hAnsi="Times New Roman" w:cs="Times New Roman"/>
          <w:i/>
          <w:iCs/>
          <w:noProof/>
          <w:kern w:val="0"/>
          <w:szCs w:val="24"/>
          <w:lang w:val="fr-FR"/>
        </w:rPr>
        <w:t>et al.</w:t>
      </w:r>
      <w:r w:rsidRPr="00167EF2">
        <w:rPr>
          <w:rFonts w:ascii="Times New Roman" w:hAnsi="Times New Roman" w:cs="Times New Roman"/>
          <w:noProof/>
          <w:kern w:val="0"/>
          <w:szCs w:val="24"/>
          <w:lang w:val="fr-FR"/>
        </w:rPr>
        <w:t xml:space="preserve"> </w:t>
      </w:r>
      <w:r w:rsidRPr="0068651E">
        <w:rPr>
          <w:rFonts w:ascii="Times New Roman" w:hAnsi="Times New Roman" w:cs="Times New Roman"/>
          <w:noProof/>
          <w:kern w:val="0"/>
          <w:szCs w:val="24"/>
        </w:rPr>
        <w:t xml:space="preserve">(2021) ‘(Re)Centering social justice: Thinking about co-management of and access to parks and protected areas in the United States’, </w:t>
      </w:r>
      <w:r w:rsidRPr="0068651E">
        <w:rPr>
          <w:rFonts w:ascii="Times New Roman" w:hAnsi="Times New Roman" w:cs="Times New Roman"/>
          <w:i/>
          <w:iCs/>
          <w:noProof/>
          <w:kern w:val="0"/>
          <w:szCs w:val="24"/>
        </w:rPr>
        <w:t>Parks Stewardship Forum</w:t>
      </w:r>
      <w:r w:rsidRPr="0068651E">
        <w:rPr>
          <w:rFonts w:ascii="Times New Roman" w:hAnsi="Times New Roman" w:cs="Times New Roman"/>
          <w:noProof/>
          <w:kern w:val="0"/>
          <w:szCs w:val="24"/>
        </w:rPr>
        <w:t>, 37(3), pp. 527–533.</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Holsinger, L. </w:t>
      </w:r>
      <w:r w:rsidRPr="0068651E">
        <w:rPr>
          <w:rFonts w:ascii="Times New Roman" w:hAnsi="Times New Roman" w:cs="Times New Roman"/>
          <w:i/>
          <w:iCs/>
          <w:noProof/>
          <w:kern w:val="0"/>
          <w:szCs w:val="24"/>
        </w:rPr>
        <w:t>et al.</w:t>
      </w:r>
      <w:r w:rsidRPr="0068651E">
        <w:rPr>
          <w:rFonts w:ascii="Times New Roman" w:hAnsi="Times New Roman" w:cs="Times New Roman"/>
          <w:noProof/>
          <w:kern w:val="0"/>
          <w:szCs w:val="24"/>
        </w:rPr>
        <w:t xml:space="preserve"> (2019) ‘Climate change likely to reshape vegetation in North America’s largest </w:t>
      </w:r>
      <w:r w:rsidRPr="0068651E">
        <w:rPr>
          <w:rFonts w:ascii="Times New Roman" w:hAnsi="Times New Roman" w:cs="Times New Roman"/>
          <w:noProof/>
          <w:kern w:val="0"/>
          <w:szCs w:val="24"/>
        </w:rPr>
        <w:lastRenderedPageBreak/>
        <w:t xml:space="preserve">protected areas’, </w:t>
      </w:r>
      <w:r w:rsidRPr="0068651E">
        <w:rPr>
          <w:rFonts w:ascii="Times New Roman" w:hAnsi="Times New Roman" w:cs="Times New Roman"/>
          <w:i/>
          <w:iCs/>
          <w:noProof/>
          <w:kern w:val="0"/>
          <w:szCs w:val="24"/>
        </w:rPr>
        <w:t>Conservation Science and Practice</w:t>
      </w:r>
      <w:r w:rsidRPr="0068651E">
        <w:rPr>
          <w:rFonts w:ascii="Times New Roman" w:hAnsi="Times New Roman" w:cs="Times New Roman"/>
          <w:noProof/>
          <w:kern w:val="0"/>
          <w:szCs w:val="24"/>
        </w:rPr>
        <w:t>, 1(7), pp. 1–17. doi: 10.1111/csp2.50.</w:t>
      </w:r>
    </w:p>
    <w:p w:rsidR="0068651E" w:rsidRPr="00167EF2" w:rsidRDefault="0068651E" w:rsidP="0068651E">
      <w:pPr>
        <w:widowControl w:val="0"/>
        <w:autoSpaceDE w:val="0"/>
        <w:autoSpaceDN w:val="0"/>
        <w:adjustRightInd w:val="0"/>
        <w:spacing w:line="240" w:lineRule="auto"/>
        <w:rPr>
          <w:rFonts w:ascii="Times New Roman" w:hAnsi="Times New Roman" w:cs="Times New Roman"/>
          <w:noProof/>
          <w:kern w:val="0"/>
          <w:szCs w:val="24"/>
          <w:lang w:val="fr-FR"/>
        </w:rPr>
      </w:pPr>
      <w:r w:rsidRPr="00167EF2">
        <w:rPr>
          <w:rFonts w:ascii="Times New Roman" w:hAnsi="Times New Roman" w:cs="Times New Roman"/>
          <w:noProof/>
          <w:kern w:val="0"/>
          <w:szCs w:val="24"/>
          <w:lang w:val="fr-FR"/>
        </w:rPr>
        <w:t xml:space="preserve">ICCN (2011) </w:t>
      </w:r>
      <w:r w:rsidRPr="00167EF2">
        <w:rPr>
          <w:rFonts w:ascii="Times New Roman" w:hAnsi="Times New Roman" w:cs="Times New Roman"/>
          <w:i/>
          <w:iCs/>
          <w:noProof/>
          <w:kern w:val="0"/>
          <w:szCs w:val="24"/>
          <w:lang w:val="fr-FR"/>
        </w:rPr>
        <w:t>Manuel des droits et obligations des parties prenantes dans les aires protégées</w:t>
      </w:r>
      <w:r w:rsidRPr="00167EF2">
        <w:rPr>
          <w:rFonts w:ascii="Times New Roman" w:hAnsi="Times New Roman" w:cs="Times New Roman"/>
          <w:noProof/>
          <w:kern w:val="0"/>
          <w:szCs w:val="24"/>
          <w:lang w:val="fr-FR"/>
        </w:rPr>
        <w:t>.</w:t>
      </w:r>
    </w:p>
    <w:p w:rsidR="0068651E" w:rsidRPr="00167EF2" w:rsidRDefault="0068651E" w:rsidP="0068651E">
      <w:pPr>
        <w:widowControl w:val="0"/>
        <w:autoSpaceDE w:val="0"/>
        <w:autoSpaceDN w:val="0"/>
        <w:adjustRightInd w:val="0"/>
        <w:spacing w:line="240" w:lineRule="auto"/>
        <w:rPr>
          <w:rFonts w:ascii="Times New Roman" w:hAnsi="Times New Roman" w:cs="Times New Roman"/>
          <w:noProof/>
          <w:kern w:val="0"/>
          <w:szCs w:val="24"/>
          <w:lang w:val="fr-FR"/>
        </w:rPr>
      </w:pPr>
      <w:r w:rsidRPr="00167EF2">
        <w:rPr>
          <w:rFonts w:ascii="Times New Roman" w:hAnsi="Times New Roman" w:cs="Times New Roman"/>
          <w:noProof/>
          <w:kern w:val="0"/>
          <w:szCs w:val="24"/>
          <w:lang w:val="fr-FR"/>
        </w:rPr>
        <w:t xml:space="preserve">ICCN (2012) </w:t>
      </w:r>
      <w:r w:rsidRPr="00167EF2">
        <w:rPr>
          <w:rFonts w:ascii="Times New Roman" w:hAnsi="Times New Roman" w:cs="Times New Roman"/>
          <w:i/>
          <w:iCs/>
          <w:noProof/>
          <w:kern w:val="0"/>
          <w:szCs w:val="24"/>
          <w:lang w:val="fr-FR"/>
        </w:rPr>
        <w:t>Strategie nationale de conservation de la biodiversite dans les aires protegees de la Republique Democratique du Congo</w:t>
      </w:r>
      <w:r w:rsidRPr="00167EF2">
        <w:rPr>
          <w:rFonts w:ascii="Times New Roman" w:hAnsi="Times New Roman" w:cs="Times New Roman"/>
          <w:noProof/>
          <w:kern w:val="0"/>
          <w:szCs w:val="24"/>
          <w:lang w:val="fr-FR"/>
        </w:rPr>
        <w:t>.</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Inogwabini, B. I. (2014) ‘Conserving biodiversity in the democratic Republic of Congo: A brief history, current trends and insights for the future’, </w:t>
      </w:r>
      <w:r w:rsidRPr="0068651E">
        <w:rPr>
          <w:rFonts w:ascii="Times New Roman" w:hAnsi="Times New Roman" w:cs="Times New Roman"/>
          <w:i/>
          <w:iCs/>
          <w:noProof/>
          <w:kern w:val="0"/>
          <w:szCs w:val="24"/>
        </w:rPr>
        <w:t>Parks</w:t>
      </w:r>
      <w:r w:rsidRPr="0068651E">
        <w:rPr>
          <w:rFonts w:ascii="Times New Roman" w:hAnsi="Times New Roman" w:cs="Times New Roman"/>
          <w:noProof/>
          <w:kern w:val="0"/>
          <w:szCs w:val="24"/>
        </w:rPr>
        <w:t>, 20(2), pp. 101–110. doi: 10.2305/IUCN.CH.2014.PARKS-20-2.BI.en.</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Kihangi, B. K. (2012) ‘The environmental law framework of the Democratic Republic of the Congo and the balancing of interest’, </w:t>
      </w:r>
      <w:r w:rsidRPr="0068651E">
        <w:rPr>
          <w:rFonts w:ascii="Times New Roman" w:hAnsi="Times New Roman" w:cs="Times New Roman"/>
          <w:i/>
          <w:iCs/>
          <w:noProof/>
          <w:kern w:val="0"/>
          <w:szCs w:val="24"/>
        </w:rPr>
        <w:t>Environmental Law in Africa</w:t>
      </w:r>
      <w:r w:rsidRPr="0068651E">
        <w:rPr>
          <w:rFonts w:ascii="Times New Roman" w:hAnsi="Times New Roman" w:cs="Times New Roman"/>
          <w:noProof/>
          <w:kern w:val="0"/>
          <w:szCs w:val="24"/>
        </w:rPr>
        <w:t>, (June).</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Kihangi, B. K. (2016) ‘Country Report: Democratic Republic of Congo’, </w:t>
      </w:r>
      <w:r w:rsidRPr="0068651E">
        <w:rPr>
          <w:rFonts w:ascii="Times New Roman" w:hAnsi="Times New Roman" w:cs="Times New Roman"/>
          <w:i/>
          <w:iCs/>
          <w:noProof/>
          <w:kern w:val="0"/>
          <w:szCs w:val="24"/>
        </w:rPr>
        <w:t>IUCN Academy of Environmental Law E-Journal</w:t>
      </w:r>
      <w:r w:rsidRPr="0068651E">
        <w:rPr>
          <w:rFonts w:ascii="Times New Roman" w:hAnsi="Times New Roman" w:cs="Times New Roman"/>
          <w:noProof/>
          <w:kern w:val="0"/>
          <w:szCs w:val="24"/>
        </w:rPr>
        <w:t>, 1(November), pp. 205–212. Available at: https://scholar.google.nl/scholar?hl=en&amp;as_sdt=0%2C5&amp;q=COUNTRY+REPORT%3A+DEMOCRATIC+REPUBLIC+OF+CONGO++Kennedy+Kihangi+Bindu*&amp;btnG=.</w:t>
      </w:r>
    </w:p>
    <w:p w:rsidR="0068651E" w:rsidRPr="00167EF2" w:rsidRDefault="0068651E" w:rsidP="0068651E">
      <w:pPr>
        <w:widowControl w:val="0"/>
        <w:autoSpaceDE w:val="0"/>
        <w:autoSpaceDN w:val="0"/>
        <w:adjustRightInd w:val="0"/>
        <w:spacing w:line="240" w:lineRule="auto"/>
        <w:rPr>
          <w:rFonts w:ascii="Times New Roman" w:hAnsi="Times New Roman" w:cs="Times New Roman"/>
          <w:noProof/>
          <w:kern w:val="0"/>
          <w:szCs w:val="24"/>
          <w:lang w:val="fr-FR"/>
        </w:rPr>
      </w:pPr>
      <w:r w:rsidRPr="00167EF2">
        <w:rPr>
          <w:rFonts w:ascii="Times New Roman" w:hAnsi="Times New Roman" w:cs="Times New Roman"/>
          <w:noProof/>
          <w:kern w:val="0"/>
          <w:szCs w:val="24"/>
          <w:lang w:val="fr-FR"/>
        </w:rPr>
        <w:t xml:space="preserve">Koné, L. and Mukumba, P. (2018) </w:t>
      </w:r>
      <w:r w:rsidRPr="00167EF2">
        <w:rPr>
          <w:rFonts w:ascii="Times New Roman" w:hAnsi="Times New Roman" w:cs="Times New Roman"/>
          <w:i/>
          <w:iCs/>
          <w:noProof/>
          <w:kern w:val="0"/>
          <w:szCs w:val="24"/>
          <w:lang w:val="fr-FR"/>
        </w:rPr>
        <w:t>La Conservation et les droits des communautés locales et des peuples autochtones en République Démocratique du Congo : Note de Plaidoyer</w:t>
      </w:r>
      <w:r w:rsidRPr="00167EF2">
        <w:rPr>
          <w:rFonts w:ascii="Times New Roman" w:hAnsi="Times New Roman" w:cs="Times New Roman"/>
          <w:noProof/>
          <w:kern w:val="0"/>
          <w:szCs w:val="24"/>
          <w:lang w:val="fr-FR"/>
        </w:rPr>
        <w:t>.</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167EF2">
        <w:rPr>
          <w:rFonts w:ascii="Times New Roman" w:hAnsi="Times New Roman" w:cs="Times New Roman"/>
          <w:noProof/>
          <w:kern w:val="0"/>
          <w:szCs w:val="24"/>
          <w:lang w:val="fr-FR"/>
        </w:rPr>
        <w:t xml:space="preserve">Kroner, G. R. E. </w:t>
      </w:r>
      <w:r w:rsidRPr="00167EF2">
        <w:rPr>
          <w:rFonts w:ascii="Times New Roman" w:hAnsi="Times New Roman" w:cs="Times New Roman"/>
          <w:i/>
          <w:iCs/>
          <w:noProof/>
          <w:kern w:val="0"/>
          <w:szCs w:val="24"/>
          <w:lang w:val="fr-FR"/>
        </w:rPr>
        <w:t>et al.</w:t>
      </w:r>
      <w:r w:rsidRPr="00167EF2">
        <w:rPr>
          <w:rFonts w:ascii="Times New Roman" w:hAnsi="Times New Roman" w:cs="Times New Roman"/>
          <w:noProof/>
          <w:kern w:val="0"/>
          <w:szCs w:val="24"/>
          <w:lang w:val="fr-FR"/>
        </w:rPr>
        <w:t xml:space="preserve"> </w:t>
      </w:r>
      <w:r w:rsidRPr="0068651E">
        <w:rPr>
          <w:rFonts w:ascii="Times New Roman" w:hAnsi="Times New Roman" w:cs="Times New Roman"/>
          <w:noProof/>
          <w:kern w:val="0"/>
          <w:szCs w:val="24"/>
        </w:rPr>
        <w:t xml:space="preserve">(2019) ‘The uncertain future of protected lands and waters’, </w:t>
      </w:r>
      <w:r w:rsidRPr="0068651E">
        <w:rPr>
          <w:rFonts w:ascii="Times New Roman" w:hAnsi="Times New Roman" w:cs="Times New Roman"/>
          <w:i/>
          <w:iCs/>
          <w:noProof/>
          <w:kern w:val="0"/>
          <w:szCs w:val="24"/>
        </w:rPr>
        <w:t>Science</w:t>
      </w:r>
      <w:r w:rsidRPr="0068651E">
        <w:rPr>
          <w:rFonts w:ascii="Times New Roman" w:hAnsi="Times New Roman" w:cs="Times New Roman"/>
          <w:noProof/>
          <w:kern w:val="0"/>
          <w:szCs w:val="24"/>
        </w:rPr>
        <w:t>, 364(6443), pp. 881–886. doi: 10.1126/science.aau5525.</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Lamprey, R. H. and Mugisha, A. (2009) ‘The Re-introduction of recreational hunting in Uganda’, </w:t>
      </w:r>
      <w:r w:rsidRPr="0068651E">
        <w:rPr>
          <w:rFonts w:ascii="Times New Roman" w:hAnsi="Times New Roman" w:cs="Times New Roman"/>
          <w:i/>
          <w:iCs/>
          <w:noProof/>
          <w:kern w:val="0"/>
          <w:szCs w:val="24"/>
        </w:rPr>
        <w:t>Recreational Hunting, Conservation and Rural Livelihoods: Science and Practice</w:t>
      </w:r>
      <w:r w:rsidRPr="0068651E">
        <w:rPr>
          <w:rFonts w:ascii="Times New Roman" w:hAnsi="Times New Roman" w:cs="Times New Roman"/>
          <w:noProof/>
          <w:kern w:val="0"/>
          <w:szCs w:val="24"/>
        </w:rPr>
        <w:t>, pp. 212–232. doi: 10.1002/9781444303179.ch13.</w:t>
      </w:r>
    </w:p>
    <w:p w:rsidR="0068651E" w:rsidRPr="00167EF2" w:rsidRDefault="0068651E" w:rsidP="0068651E">
      <w:pPr>
        <w:widowControl w:val="0"/>
        <w:autoSpaceDE w:val="0"/>
        <w:autoSpaceDN w:val="0"/>
        <w:adjustRightInd w:val="0"/>
        <w:spacing w:line="240" w:lineRule="auto"/>
        <w:rPr>
          <w:rFonts w:ascii="Times New Roman" w:hAnsi="Times New Roman" w:cs="Times New Roman"/>
          <w:noProof/>
          <w:kern w:val="0"/>
          <w:szCs w:val="24"/>
          <w:lang w:val="fr-FR"/>
        </w:rPr>
      </w:pPr>
      <w:r w:rsidRPr="00167EF2">
        <w:rPr>
          <w:rFonts w:ascii="Times New Roman" w:hAnsi="Times New Roman" w:cs="Times New Roman"/>
          <w:noProof/>
          <w:kern w:val="0"/>
          <w:szCs w:val="24"/>
          <w:lang w:val="fr-FR"/>
        </w:rPr>
        <w:t xml:space="preserve">MECNDD (2016) </w:t>
      </w:r>
      <w:r w:rsidRPr="00167EF2">
        <w:rPr>
          <w:rFonts w:ascii="Times New Roman" w:hAnsi="Times New Roman" w:cs="Times New Roman"/>
          <w:i/>
          <w:iCs/>
          <w:noProof/>
          <w:kern w:val="0"/>
          <w:szCs w:val="24"/>
          <w:lang w:val="fr-FR"/>
        </w:rPr>
        <w:t>Strategie et plan d’action nationaux de la biodiversite (2016-2020)</w:t>
      </w:r>
      <w:r w:rsidRPr="00167EF2">
        <w:rPr>
          <w:rFonts w:ascii="Times New Roman" w:hAnsi="Times New Roman" w:cs="Times New Roman"/>
          <w:noProof/>
          <w:kern w:val="0"/>
          <w:szCs w:val="24"/>
          <w:lang w:val="fr-FR"/>
        </w:rPr>
        <w:t>.</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Miller-Rushing, A. J. </w:t>
      </w:r>
      <w:r w:rsidRPr="0068651E">
        <w:rPr>
          <w:rFonts w:ascii="Times New Roman" w:hAnsi="Times New Roman" w:cs="Times New Roman"/>
          <w:i/>
          <w:iCs/>
          <w:noProof/>
          <w:kern w:val="0"/>
          <w:szCs w:val="24"/>
        </w:rPr>
        <w:t>et al.</w:t>
      </w:r>
      <w:r w:rsidRPr="0068651E">
        <w:rPr>
          <w:rFonts w:ascii="Times New Roman" w:hAnsi="Times New Roman" w:cs="Times New Roman"/>
          <w:noProof/>
          <w:kern w:val="0"/>
          <w:szCs w:val="24"/>
        </w:rPr>
        <w:t xml:space="preserve"> (2016) ‘A Chinese approach to protected areas: A case study comparison with the United States’, </w:t>
      </w:r>
      <w:r w:rsidRPr="0068651E">
        <w:rPr>
          <w:rFonts w:ascii="Times New Roman" w:hAnsi="Times New Roman" w:cs="Times New Roman"/>
          <w:i/>
          <w:iCs/>
          <w:noProof/>
          <w:kern w:val="0"/>
          <w:szCs w:val="24"/>
        </w:rPr>
        <w:t>Biological Conservation</w:t>
      </w:r>
      <w:r w:rsidRPr="0068651E">
        <w:rPr>
          <w:rFonts w:ascii="Times New Roman" w:hAnsi="Times New Roman" w:cs="Times New Roman"/>
          <w:noProof/>
          <w:kern w:val="0"/>
          <w:szCs w:val="24"/>
        </w:rPr>
        <w:t>, 210, pp. 101–112. doi: 10.1016/j.biocon.2016.05.022.</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MINILAF (2018) </w:t>
      </w:r>
      <w:r w:rsidRPr="0068651E">
        <w:rPr>
          <w:rFonts w:ascii="Times New Roman" w:hAnsi="Times New Roman" w:cs="Times New Roman"/>
          <w:i/>
          <w:iCs/>
          <w:noProof/>
          <w:kern w:val="0"/>
          <w:szCs w:val="24"/>
        </w:rPr>
        <w:t>Rwanda national forestry policy 2018</w:t>
      </w:r>
      <w:r w:rsidRPr="0068651E">
        <w:rPr>
          <w:rFonts w:ascii="Times New Roman" w:hAnsi="Times New Roman" w:cs="Times New Roman"/>
          <w:noProof/>
          <w:kern w:val="0"/>
          <w:szCs w:val="24"/>
        </w:rPr>
        <w:t>. Available at: https://www.environment.gov.rw/fileadmin/user_upload/Moe/Publications/Policies/Rwanda_National_Forestry_Policy_2018__1_.pdf.</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MINIRENA (2016) </w:t>
      </w:r>
      <w:r w:rsidRPr="0068651E">
        <w:rPr>
          <w:rFonts w:ascii="Times New Roman" w:hAnsi="Times New Roman" w:cs="Times New Roman"/>
          <w:i/>
          <w:iCs/>
          <w:noProof/>
          <w:kern w:val="0"/>
          <w:szCs w:val="24"/>
        </w:rPr>
        <w:t>National biodiversity strategy and action plan</w:t>
      </w:r>
      <w:r w:rsidRPr="0068651E">
        <w:rPr>
          <w:rFonts w:ascii="Times New Roman" w:hAnsi="Times New Roman" w:cs="Times New Roman"/>
          <w:noProof/>
          <w:kern w:val="0"/>
          <w:szCs w:val="24"/>
        </w:rPr>
        <w:t>.</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Ministry of lands,  resettlement and environment (2003) </w:t>
      </w:r>
      <w:r w:rsidRPr="0068651E">
        <w:rPr>
          <w:rFonts w:ascii="Times New Roman" w:hAnsi="Times New Roman" w:cs="Times New Roman"/>
          <w:i/>
          <w:iCs/>
          <w:noProof/>
          <w:kern w:val="0"/>
          <w:szCs w:val="24"/>
        </w:rPr>
        <w:t>Republic of Rwanda Ministry of Lands, Resettlement and Environment " Rwanda Environmental Policy "</w:t>
      </w:r>
      <w:r w:rsidRPr="0068651E">
        <w:rPr>
          <w:rFonts w:ascii="Times New Roman" w:hAnsi="Times New Roman" w:cs="Times New Roman"/>
          <w:noProof/>
          <w:kern w:val="0"/>
          <w:szCs w:val="24"/>
        </w:rPr>
        <w:t>.</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Ministry of Water Lands and Environment (2001) </w:t>
      </w:r>
      <w:r w:rsidRPr="0068651E">
        <w:rPr>
          <w:rFonts w:ascii="Times New Roman" w:hAnsi="Times New Roman" w:cs="Times New Roman"/>
          <w:i/>
          <w:iCs/>
          <w:noProof/>
          <w:kern w:val="0"/>
          <w:szCs w:val="24"/>
        </w:rPr>
        <w:t>The uganda forestry policy</w:t>
      </w:r>
      <w:r w:rsidRPr="0068651E">
        <w:rPr>
          <w:rFonts w:ascii="Times New Roman" w:hAnsi="Times New Roman" w:cs="Times New Roman"/>
          <w:noProof/>
          <w:kern w:val="0"/>
          <w:szCs w:val="24"/>
        </w:rPr>
        <w:t xml:space="preserve">, </w:t>
      </w:r>
      <w:r w:rsidRPr="0068651E">
        <w:rPr>
          <w:rFonts w:ascii="Times New Roman" w:hAnsi="Times New Roman" w:cs="Times New Roman"/>
          <w:i/>
          <w:iCs/>
          <w:noProof/>
          <w:kern w:val="0"/>
          <w:szCs w:val="24"/>
        </w:rPr>
        <w:t>Republic of Uganda</w:t>
      </w:r>
      <w:r w:rsidRPr="0068651E">
        <w:rPr>
          <w:rFonts w:ascii="Times New Roman" w:hAnsi="Times New Roman" w:cs="Times New Roman"/>
          <w:noProof/>
          <w:kern w:val="0"/>
          <w:szCs w:val="24"/>
        </w:rPr>
        <w:t>. Available at: http://www.nfa.org.ug/docs/forestry_policy.pdf.</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MOE (2019a) </w:t>
      </w:r>
      <w:r w:rsidRPr="0068651E">
        <w:rPr>
          <w:rFonts w:ascii="Times New Roman" w:hAnsi="Times New Roman" w:cs="Times New Roman"/>
          <w:i/>
          <w:iCs/>
          <w:noProof/>
          <w:kern w:val="0"/>
          <w:szCs w:val="24"/>
        </w:rPr>
        <w:t>National cooling strategy</w:t>
      </w:r>
      <w:r w:rsidRPr="0068651E">
        <w:rPr>
          <w:rFonts w:ascii="Times New Roman" w:hAnsi="Times New Roman" w:cs="Times New Roman"/>
          <w:noProof/>
          <w:kern w:val="0"/>
          <w:szCs w:val="24"/>
        </w:rPr>
        <w:t>. Available at: https://www.rema.gov.rw/fileadmin/templates/Documents/National_Cooling_System_book_-_Print__1_.pdf.</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MOE (2019b) </w:t>
      </w:r>
      <w:r w:rsidRPr="0068651E">
        <w:rPr>
          <w:rFonts w:ascii="Times New Roman" w:hAnsi="Times New Roman" w:cs="Times New Roman"/>
          <w:i/>
          <w:iCs/>
          <w:noProof/>
          <w:kern w:val="0"/>
          <w:szCs w:val="24"/>
        </w:rPr>
        <w:t>Rwanda national environment and climate change policy</w:t>
      </w:r>
      <w:r w:rsidRPr="0068651E">
        <w:rPr>
          <w:rFonts w:ascii="Times New Roman" w:hAnsi="Times New Roman" w:cs="Times New Roman"/>
          <w:noProof/>
          <w:kern w:val="0"/>
          <w:szCs w:val="24"/>
        </w:rPr>
        <w:t>. Available at: http://extwprlegs1.fao.org/docs/pdf/rwa195923.pdf.</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MOE (2020) </w:t>
      </w:r>
      <w:r w:rsidRPr="0068651E">
        <w:rPr>
          <w:rFonts w:ascii="Times New Roman" w:hAnsi="Times New Roman" w:cs="Times New Roman"/>
          <w:i/>
          <w:iCs/>
          <w:noProof/>
          <w:kern w:val="0"/>
          <w:szCs w:val="24"/>
        </w:rPr>
        <w:t>National land use &amp; development master plan NLUDMP 2020-2050</w:t>
      </w:r>
      <w:r w:rsidRPr="0068651E">
        <w:rPr>
          <w:rFonts w:ascii="Times New Roman" w:hAnsi="Times New Roman" w:cs="Times New Roman"/>
          <w:noProof/>
          <w:kern w:val="0"/>
          <w:szCs w:val="24"/>
        </w:rPr>
        <w:t>. Available at: https://www.environment.gov.rw/fileadmin/user_upload/Moe/Publications/Policies/National_Land-Use_and_Development_Master_Plan_2020-2050.pdf.</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Murphy, K. and Holmes, T. (2017) </w:t>
      </w:r>
      <w:r w:rsidRPr="0068651E">
        <w:rPr>
          <w:rFonts w:ascii="Times New Roman" w:hAnsi="Times New Roman" w:cs="Times New Roman"/>
          <w:i/>
          <w:iCs/>
          <w:noProof/>
          <w:kern w:val="0"/>
          <w:szCs w:val="24"/>
        </w:rPr>
        <w:t>Analysis of commercial use management policies in the National Park Service</w:t>
      </w:r>
      <w:r w:rsidRPr="0068651E">
        <w:rPr>
          <w:rFonts w:ascii="Times New Roman" w:hAnsi="Times New Roman" w:cs="Times New Roman"/>
          <w:noProof/>
          <w:kern w:val="0"/>
          <w:szCs w:val="24"/>
        </w:rPr>
        <w:t>. Duke University.</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Namirimu, T., Buyinza, J. and Nyadoi, P. (2012) </w:t>
      </w:r>
      <w:r w:rsidRPr="0068651E">
        <w:rPr>
          <w:rFonts w:ascii="Times New Roman" w:hAnsi="Times New Roman" w:cs="Times New Roman"/>
          <w:i/>
          <w:iCs/>
          <w:noProof/>
          <w:kern w:val="0"/>
          <w:szCs w:val="24"/>
        </w:rPr>
        <w:t>Uganda wildlife society policy dialogues 2012</w:t>
      </w:r>
      <w:r w:rsidRPr="0068651E">
        <w:rPr>
          <w:rFonts w:ascii="Times New Roman" w:hAnsi="Times New Roman" w:cs="Times New Roman"/>
          <w:noProof/>
          <w:kern w:val="0"/>
          <w:szCs w:val="24"/>
        </w:rPr>
        <w:t>.</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lastRenderedPageBreak/>
        <w:t xml:space="preserve">Nash, R. (1970) ‘The American invention of national parks’, </w:t>
      </w:r>
      <w:r w:rsidRPr="0068651E">
        <w:rPr>
          <w:rFonts w:ascii="Times New Roman" w:hAnsi="Times New Roman" w:cs="Times New Roman"/>
          <w:i/>
          <w:iCs/>
          <w:noProof/>
          <w:kern w:val="0"/>
          <w:szCs w:val="24"/>
        </w:rPr>
        <w:t>American Quarterly</w:t>
      </w:r>
      <w:r w:rsidRPr="0068651E">
        <w:rPr>
          <w:rFonts w:ascii="Times New Roman" w:hAnsi="Times New Roman" w:cs="Times New Roman"/>
          <w:noProof/>
          <w:kern w:val="0"/>
          <w:szCs w:val="24"/>
        </w:rPr>
        <w:t>, 22(3), pp. 726–735. doi: 10.2307/2711623.</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National Resistance Council (1996) ‘Uganda wildlife statute’, (14), pp. 1–58. Available at: http://extwprlegs1.fao.org/docs/pdf/uga9000.pdf.</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NEMA (2016) </w:t>
      </w:r>
      <w:r w:rsidRPr="0068651E">
        <w:rPr>
          <w:rFonts w:ascii="Times New Roman" w:hAnsi="Times New Roman" w:cs="Times New Roman"/>
          <w:i/>
          <w:iCs/>
          <w:noProof/>
          <w:kern w:val="0"/>
          <w:szCs w:val="24"/>
        </w:rPr>
        <w:t>National biodiversity strategy and action plan II (2015-2025)</w:t>
      </w:r>
      <w:r w:rsidRPr="0068651E">
        <w:rPr>
          <w:rFonts w:ascii="Times New Roman" w:hAnsi="Times New Roman" w:cs="Times New Roman"/>
          <w:noProof/>
          <w:kern w:val="0"/>
          <w:szCs w:val="24"/>
        </w:rPr>
        <w:t>. Available at: http://extwprlegs1.fao.org/docs/pdf/grn171439.pdf.</w:t>
      </w:r>
    </w:p>
    <w:p w:rsidR="0068651E" w:rsidRPr="00167EF2" w:rsidRDefault="0068651E" w:rsidP="0068651E">
      <w:pPr>
        <w:widowControl w:val="0"/>
        <w:autoSpaceDE w:val="0"/>
        <w:autoSpaceDN w:val="0"/>
        <w:adjustRightInd w:val="0"/>
        <w:spacing w:line="240" w:lineRule="auto"/>
        <w:rPr>
          <w:rFonts w:ascii="Times New Roman" w:hAnsi="Times New Roman" w:cs="Times New Roman"/>
          <w:noProof/>
          <w:kern w:val="0"/>
          <w:szCs w:val="24"/>
          <w:lang w:val="fr-FR"/>
        </w:rPr>
      </w:pPr>
      <w:r w:rsidRPr="00167EF2">
        <w:rPr>
          <w:rFonts w:ascii="Times New Roman" w:hAnsi="Times New Roman" w:cs="Times New Roman"/>
          <w:noProof/>
          <w:kern w:val="0"/>
          <w:szCs w:val="24"/>
          <w:lang w:val="fr-FR"/>
        </w:rPr>
        <w:t xml:space="preserve">Palais du peuple (2014) </w:t>
      </w:r>
      <w:r w:rsidRPr="00167EF2">
        <w:rPr>
          <w:rFonts w:ascii="Times New Roman" w:hAnsi="Times New Roman" w:cs="Times New Roman"/>
          <w:i/>
          <w:iCs/>
          <w:noProof/>
          <w:kern w:val="0"/>
          <w:szCs w:val="24"/>
          <w:lang w:val="fr-FR"/>
        </w:rPr>
        <w:t>Loi relative à la conservation de la nature</w:t>
      </w:r>
      <w:r w:rsidRPr="00167EF2">
        <w:rPr>
          <w:rFonts w:ascii="Times New Roman" w:hAnsi="Times New Roman" w:cs="Times New Roman"/>
          <w:noProof/>
          <w:kern w:val="0"/>
          <w:szCs w:val="24"/>
          <w:lang w:val="fr-FR"/>
        </w:rPr>
        <w:t>.</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Parliament of Uganda (2019) ‘Uganda wildlife act’, </w:t>
      </w:r>
      <w:r w:rsidRPr="0068651E">
        <w:rPr>
          <w:rFonts w:ascii="Times New Roman" w:hAnsi="Times New Roman" w:cs="Times New Roman"/>
          <w:i/>
          <w:iCs/>
          <w:noProof/>
          <w:kern w:val="0"/>
          <w:szCs w:val="24"/>
        </w:rPr>
        <w:t>The Uganda Gazette No. 49, Volume CXII, dated 27th September, 2019</w:t>
      </w:r>
      <w:r w:rsidRPr="0068651E">
        <w:rPr>
          <w:rFonts w:ascii="Times New Roman" w:hAnsi="Times New Roman" w:cs="Times New Roman"/>
          <w:noProof/>
          <w:kern w:val="0"/>
          <w:szCs w:val="24"/>
        </w:rPr>
        <w:t>, CXII(10), pp. 1–99.</w:t>
      </w:r>
    </w:p>
    <w:p w:rsidR="0068651E" w:rsidRPr="00167EF2" w:rsidRDefault="0068651E" w:rsidP="0068651E">
      <w:pPr>
        <w:widowControl w:val="0"/>
        <w:autoSpaceDE w:val="0"/>
        <w:autoSpaceDN w:val="0"/>
        <w:adjustRightInd w:val="0"/>
        <w:spacing w:line="240" w:lineRule="auto"/>
        <w:rPr>
          <w:rFonts w:ascii="Times New Roman" w:hAnsi="Times New Roman" w:cs="Times New Roman"/>
          <w:noProof/>
          <w:kern w:val="0"/>
          <w:szCs w:val="24"/>
          <w:lang w:val="fr-FR"/>
        </w:rPr>
      </w:pPr>
      <w:r w:rsidRPr="00167EF2">
        <w:rPr>
          <w:rFonts w:ascii="Times New Roman" w:hAnsi="Times New Roman" w:cs="Times New Roman"/>
          <w:noProof/>
          <w:kern w:val="0"/>
          <w:szCs w:val="24"/>
          <w:lang w:val="fr-FR"/>
        </w:rPr>
        <w:t>Présidence de la République (1969) ‘Ordonnance-loi no 69-041 du 22 aout 1969 relative a la conservation de la nature’.</w:t>
      </w:r>
    </w:p>
    <w:p w:rsidR="0068651E" w:rsidRPr="00167EF2" w:rsidRDefault="0068651E" w:rsidP="0068651E">
      <w:pPr>
        <w:widowControl w:val="0"/>
        <w:autoSpaceDE w:val="0"/>
        <w:autoSpaceDN w:val="0"/>
        <w:adjustRightInd w:val="0"/>
        <w:spacing w:line="240" w:lineRule="auto"/>
        <w:rPr>
          <w:rFonts w:ascii="Times New Roman" w:hAnsi="Times New Roman" w:cs="Times New Roman"/>
          <w:noProof/>
          <w:kern w:val="0"/>
          <w:szCs w:val="24"/>
          <w:lang w:val="fr-FR"/>
        </w:rPr>
      </w:pPr>
      <w:r w:rsidRPr="00167EF2">
        <w:rPr>
          <w:rFonts w:ascii="Times New Roman" w:hAnsi="Times New Roman" w:cs="Times New Roman"/>
          <w:noProof/>
          <w:kern w:val="0"/>
          <w:szCs w:val="24"/>
          <w:lang w:val="fr-FR"/>
        </w:rPr>
        <w:t xml:space="preserve">Présidence de la République (1975) </w:t>
      </w:r>
      <w:r w:rsidRPr="00167EF2">
        <w:rPr>
          <w:rFonts w:ascii="Times New Roman" w:hAnsi="Times New Roman" w:cs="Times New Roman"/>
          <w:i/>
          <w:iCs/>
          <w:noProof/>
          <w:kern w:val="0"/>
          <w:szCs w:val="24"/>
          <w:lang w:val="fr-FR"/>
        </w:rPr>
        <w:t>Loi No 75-023 du 22 Juillet 1975 portant le statut de l’Institut Zairois pour la conservation de la nature</w:t>
      </w:r>
      <w:r w:rsidRPr="00167EF2">
        <w:rPr>
          <w:rFonts w:ascii="Times New Roman" w:hAnsi="Times New Roman" w:cs="Times New Roman"/>
          <w:noProof/>
          <w:kern w:val="0"/>
          <w:szCs w:val="24"/>
          <w:lang w:val="fr-FR"/>
        </w:rPr>
        <w:t>.</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Pyhälä, A., Orozco, A. O. and Counsell, S. (2016) ‘Protected areas in the Congo Basin: Failing both people and biodiversity?’, (April).</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RDB (2022) </w:t>
      </w:r>
      <w:r w:rsidRPr="0068651E">
        <w:rPr>
          <w:rFonts w:ascii="Times New Roman" w:hAnsi="Times New Roman" w:cs="Times New Roman"/>
          <w:i/>
          <w:iCs/>
          <w:noProof/>
          <w:kern w:val="0"/>
          <w:szCs w:val="24"/>
        </w:rPr>
        <w:t>About RDB | Official Rwanda Development Board (RDB) Website</w:t>
      </w:r>
      <w:r w:rsidRPr="0068651E">
        <w:rPr>
          <w:rFonts w:ascii="Times New Roman" w:hAnsi="Times New Roman" w:cs="Times New Roman"/>
          <w:noProof/>
          <w:kern w:val="0"/>
          <w:szCs w:val="24"/>
        </w:rPr>
        <w:t>. Available at: https://rdb.rw/about-rdb/#vision-and-mission (Accessed: 12 November 2022).</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Republic of Rwanda (2020) </w:t>
      </w:r>
      <w:r w:rsidRPr="0068651E">
        <w:rPr>
          <w:rFonts w:ascii="Times New Roman" w:hAnsi="Times New Roman" w:cs="Times New Roman"/>
          <w:i/>
          <w:iCs/>
          <w:noProof/>
          <w:kern w:val="0"/>
          <w:szCs w:val="24"/>
        </w:rPr>
        <w:t>Republic of Rwanda 6th national report to the Convention on Biological Diversity</w:t>
      </w:r>
      <w:r w:rsidRPr="0068651E">
        <w:rPr>
          <w:rFonts w:ascii="Times New Roman" w:hAnsi="Times New Roman" w:cs="Times New Roman"/>
          <w:noProof/>
          <w:kern w:val="0"/>
          <w:szCs w:val="24"/>
        </w:rPr>
        <w:t>.</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Rwakakamba, T. M. (2009) ‘How effective are Uganda’s environmental policies?’, </w:t>
      </w:r>
      <w:r w:rsidRPr="0068651E">
        <w:rPr>
          <w:rFonts w:ascii="Times New Roman" w:hAnsi="Times New Roman" w:cs="Times New Roman"/>
          <w:i/>
          <w:iCs/>
          <w:noProof/>
          <w:kern w:val="0"/>
          <w:szCs w:val="24"/>
        </w:rPr>
        <w:t>Mountain Research and Development</w:t>
      </w:r>
      <w:r w:rsidRPr="0068651E">
        <w:rPr>
          <w:rFonts w:ascii="Times New Roman" w:hAnsi="Times New Roman" w:cs="Times New Roman"/>
          <w:noProof/>
          <w:kern w:val="0"/>
          <w:szCs w:val="24"/>
        </w:rPr>
        <w:t>, 29(2), pp. 121–127. doi: 10.1659/mrd.1092.</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167EF2">
        <w:rPr>
          <w:rFonts w:ascii="Times New Roman" w:hAnsi="Times New Roman" w:cs="Times New Roman"/>
          <w:noProof/>
          <w:kern w:val="0"/>
          <w:szCs w:val="24"/>
          <w:lang w:val="fr-FR"/>
        </w:rPr>
        <w:t xml:space="preserve">Seyler, J. R. </w:t>
      </w:r>
      <w:r w:rsidRPr="00167EF2">
        <w:rPr>
          <w:rFonts w:ascii="Times New Roman" w:hAnsi="Times New Roman" w:cs="Times New Roman"/>
          <w:i/>
          <w:iCs/>
          <w:noProof/>
          <w:kern w:val="0"/>
          <w:szCs w:val="24"/>
          <w:lang w:val="fr-FR"/>
        </w:rPr>
        <w:t>et al.</w:t>
      </w:r>
      <w:r w:rsidRPr="00167EF2">
        <w:rPr>
          <w:rFonts w:ascii="Times New Roman" w:hAnsi="Times New Roman" w:cs="Times New Roman"/>
          <w:noProof/>
          <w:kern w:val="0"/>
          <w:szCs w:val="24"/>
          <w:lang w:val="fr-FR"/>
        </w:rPr>
        <w:t xml:space="preserve"> </w:t>
      </w:r>
      <w:r w:rsidRPr="0068651E">
        <w:rPr>
          <w:rFonts w:ascii="Times New Roman" w:hAnsi="Times New Roman" w:cs="Times New Roman"/>
          <w:noProof/>
          <w:kern w:val="0"/>
          <w:szCs w:val="24"/>
        </w:rPr>
        <w:t xml:space="preserve">(2010) </w:t>
      </w:r>
      <w:r w:rsidRPr="0068651E">
        <w:rPr>
          <w:rFonts w:ascii="Times New Roman" w:hAnsi="Times New Roman" w:cs="Times New Roman"/>
          <w:i/>
          <w:iCs/>
          <w:noProof/>
          <w:kern w:val="0"/>
          <w:szCs w:val="24"/>
        </w:rPr>
        <w:t>Democratic Republic of Congo: Biodiversity and tropical forestry assessment (118/119). Final report</w:t>
      </w:r>
      <w:r w:rsidRPr="0068651E">
        <w:rPr>
          <w:rFonts w:ascii="Times New Roman" w:hAnsi="Times New Roman" w:cs="Times New Roman"/>
          <w:noProof/>
          <w:kern w:val="0"/>
          <w:szCs w:val="24"/>
        </w:rPr>
        <w:t>. Available at: http://pdf.usaid.gov/pdf_docs/PNADS946.pdf.</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Stralberg, D., Carroll, C. and Nielsen, S. E. (2020) ‘Toward a climate-informed North American protected areas network: Incorporating climate-change refugia and corridors in conservation planning’, </w:t>
      </w:r>
      <w:r w:rsidRPr="0068651E">
        <w:rPr>
          <w:rFonts w:ascii="Times New Roman" w:hAnsi="Times New Roman" w:cs="Times New Roman"/>
          <w:i/>
          <w:iCs/>
          <w:noProof/>
          <w:kern w:val="0"/>
          <w:szCs w:val="24"/>
        </w:rPr>
        <w:t>Conservation Letters</w:t>
      </w:r>
      <w:r w:rsidRPr="0068651E">
        <w:rPr>
          <w:rFonts w:ascii="Times New Roman" w:hAnsi="Times New Roman" w:cs="Times New Roman"/>
          <w:noProof/>
          <w:kern w:val="0"/>
          <w:szCs w:val="24"/>
        </w:rPr>
        <w:t>, 13(4), pp. 1–10. doi: 10.1111/conl.12712.</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The parliament (2008) ‘Organic law No 53/2008 of 02/09/2008 establishing Rwanda Development Board (RDB) and determining its responsibilities, organisation and functioning’, </w:t>
      </w:r>
      <w:r w:rsidRPr="0068651E">
        <w:rPr>
          <w:rFonts w:ascii="Times New Roman" w:hAnsi="Times New Roman" w:cs="Times New Roman"/>
          <w:i/>
          <w:iCs/>
          <w:noProof/>
          <w:kern w:val="0"/>
          <w:szCs w:val="24"/>
        </w:rPr>
        <w:t>Official Gazette of the Republic of Rwanda</w:t>
      </w:r>
      <w:r w:rsidRPr="0068651E">
        <w:rPr>
          <w:rFonts w:ascii="Times New Roman" w:hAnsi="Times New Roman" w:cs="Times New Roman"/>
          <w:noProof/>
          <w:kern w:val="0"/>
          <w:szCs w:val="24"/>
        </w:rPr>
        <w:t>, 05 Septemb(Special).</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The Parliament (2013) </w:t>
      </w:r>
      <w:r w:rsidRPr="0068651E">
        <w:rPr>
          <w:rFonts w:ascii="Times New Roman" w:hAnsi="Times New Roman" w:cs="Times New Roman"/>
          <w:i/>
          <w:iCs/>
          <w:noProof/>
          <w:kern w:val="0"/>
          <w:szCs w:val="24"/>
        </w:rPr>
        <w:t>Law No 46/2013 of 16/06/2013 establishing Rwanda Development Board (RDB) and determining its mission, organisation and functioning</w:t>
      </w:r>
      <w:r w:rsidRPr="0068651E">
        <w:rPr>
          <w:rFonts w:ascii="Times New Roman" w:hAnsi="Times New Roman" w:cs="Times New Roman"/>
          <w:noProof/>
          <w:kern w:val="0"/>
          <w:szCs w:val="24"/>
        </w:rPr>
        <w:t xml:space="preserve">, </w:t>
      </w:r>
      <w:r w:rsidRPr="0068651E">
        <w:rPr>
          <w:rFonts w:ascii="Times New Roman" w:hAnsi="Times New Roman" w:cs="Times New Roman"/>
          <w:i/>
          <w:iCs/>
          <w:noProof/>
          <w:kern w:val="0"/>
          <w:szCs w:val="24"/>
        </w:rPr>
        <w:t>Official Gazette no Special of 16/06/2013</w:t>
      </w:r>
      <w:r w:rsidRPr="0068651E">
        <w:rPr>
          <w:rFonts w:ascii="Times New Roman" w:hAnsi="Times New Roman" w:cs="Times New Roman"/>
          <w:noProof/>
          <w:kern w:val="0"/>
          <w:szCs w:val="24"/>
        </w:rPr>
        <w:t>.</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U.S. National Park Service (2006) </w:t>
      </w:r>
      <w:r w:rsidRPr="0068651E">
        <w:rPr>
          <w:rFonts w:ascii="Times New Roman" w:hAnsi="Times New Roman" w:cs="Times New Roman"/>
          <w:i/>
          <w:iCs/>
          <w:noProof/>
          <w:kern w:val="0"/>
          <w:szCs w:val="24"/>
        </w:rPr>
        <w:t>Management policies 2006</w:t>
      </w:r>
      <w:r w:rsidRPr="0068651E">
        <w:rPr>
          <w:rFonts w:ascii="Times New Roman" w:hAnsi="Times New Roman" w:cs="Times New Roman"/>
          <w:noProof/>
          <w:kern w:val="0"/>
          <w:szCs w:val="24"/>
        </w:rPr>
        <w:t>. Washington. Available at: https://www.nps.gov/policy/MP_2006.pdf.</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U.S. National Park Service (2021) </w:t>
      </w:r>
      <w:r w:rsidRPr="0068651E">
        <w:rPr>
          <w:rFonts w:ascii="Times New Roman" w:hAnsi="Times New Roman" w:cs="Times New Roman"/>
          <w:i/>
          <w:iCs/>
          <w:noProof/>
          <w:kern w:val="0"/>
          <w:szCs w:val="24"/>
        </w:rPr>
        <w:t>Related laws - NPS Office of policy</w:t>
      </w:r>
      <w:r w:rsidRPr="0068651E">
        <w:rPr>
          <w:rFonts w:ascii="Times New Roman" w:hAnsi="Times New Roman" w:cs="Times New Roman"/>
          <w:noProof/>
          <w:kern w:val="0"/>
          <w:szCs w:val="24"/>
        </w:rPr>
        <w:t>. Available at: https://npspolicy.nps.gov/getlaws.cfm (Accessed: 24 October 2021).</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U.S. National Park Service (2022) </w:t>
      </w:r>
      <w:r w:rsidRPr="0068651E">
        <w:rPr>
          <w:rFonts w:ascii="Times New Roman" w:hAnsi="Times New Roman" w:cs="Times New Roman"/>
          <w:i/>
          <w:iCs/>
          <w:noProof/>
          <w:kern w:val="0"/>
          <w:szCs w:val="24"/>
        </w:rPr>
        <w:t>Related Laws NPS Office of Policy</w:t>
      </w:r>
      <w:r w:rsidRPr="0068651E">
        <w:rPr>
          <w:rFonts w:ascii="Times New Roman" w:hAnsi="Times New Roman" w:cs="Times New Roman"/>
          <w:noProof/>
          <w:kern w:val="0"/>
          <w:szCs w:val="24"/>
        </w:rPr>
        <w:t>. Available at: https://npspolicy.nps.gov/getlaws.cfm (Accessed: 12 November 2022).</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UN (2022) </w:t>
      </w:r>
      <w:r w:rsidRPr="0068651E">
        <w:rPr>
          <w:rFonts w:ascii="Times New Roman" w:hAnsi="Times New Roman" w:cs="Times New Roman"/>
          <w:i/>
          <w:iCs/>
          <w:noProof/>
          <w:kern w:val="0"/>
          <w:szCs w:val="24"/>
        </w:rPr>
        <w:t>The 17 Goals of Sustainable Development</w:t>
      </w:r>
      <w:r w:rsidRPr="0068651E">
        <w:rPr>
          <w:rFonts w:ascii="Times New Roman" w:hAnsi="Times New Roman" w:cs="Times New Roman"/>
          <w:noProof/>
          <w:kern w:val="0"/>
          <w:szCs w:val="24"/>
        </w:rPr>
        <w:t>. Available at: https://sdgs.un.org/goals (Accessed: 11 November 2022).</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UNEP (2021) </w:t>
      </w:r>
      <w:r w:rsidRPr="0068651E">
        <w:rPr>
          <w:rFonts w:ascii="Times New Roman" w:hAnsi="Times New Roman" w:cs="Times New Roman"/>
          <w:i/>
          <w:iCs/>
          <w:noProof/>
          <w:kern w:val="0"/>
          <w:szCs w:val="24"/>
        </w:rPr>
        <w:t>Kunming Declaration-Ecological civilization: Building a shared future for all life on Earth</w:t>
      </w:r>
      <w:r w:rsidRPr="0068651E">
        <w:rPr>
          <w:rFonts w:ascii="Times New Roman" w:hAnsi="Times New Roman" w:cs="Times New Roman"/>
          <w:noProof/>
          <w:kern w:val="0"/>
          <w:szCs w:val="24"/>
        </w:rPr>
        <w:t>. Kunming, China.</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lastRenderedPageBreak/>
        <w:t xml:space="preserve">UNESCO WHC (2022) </w:t>
      </w:r>
      <w:r w:rsidRPr="0068651E">
        <w:rPr>
          <w:rFonts w:ascii="Times New Roman" w:hAnsi="Times New Roman" w:cs="Times New Roman"/>
          <w:i/>
          <w:iCs/>
          <w:noProof/>
          <w:kern w:val="0"/>
          <w:szCs w:val="24"/>
        </w:rPr>
        <w:t>UNESCO World Heritage Centre - World Heritage List</w:t>
      </w:r>
      <w:r w:rsidRPr="0068651E">
        <w:rPr>
          <w:rFonts w:ascii="Times New Roman" w:hAnsi="Times New Roman" w:cs="Times New Roman"/>
          <w:noProof/>
          <w:kern w:val="0"/>
          <w:szCs w:val="24"/>
        </w:rPr>
        <w:t>. Available at: https://whc.unesco.org/en/list/&amp;search=&amp;searchSites=&amp;search_by_country=&amp;search_yearinscribed=&amp;themes=&amp;criteria_restrication=&amp;media=&amp;description=&amp;order=country (Accessed: 12 November 2022).</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United Nations Development Programme (2022) </w:t>
      </w:r>
      <w:r w:rsidRPr="0068651E">
        <w:rPr>
          <w:rFonts w:ascii="Times New Roman" w:hAnsi="Times New Roman" w:cs="Times New Roman"/>
          <w:i/>
          <w:iCs/>
          <w:noProof/>
          <w:kern w:val="0"/>
          <w:szCs w:val="24"/>
        </w:rPr>
        <w:t>Human development report 2021/2022</w:t>
      </w:r>
      <w:r w:rsidRPr="0068651E">
        <w:rPr>
          <w:rFonts w:ascii="Times New Roman" w:hAnsi="Times New Roman" w:cs="Times New Roman"/>
          <w:noProof/>
          <w:kern w:val="0"/>
          <w:szCs w:val="24"/>
        </w:rPr>
        <w:t>.</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United States Congress (1906) </w:t>
      </w:r>
      <w:r w:rsidRPr="0068651E">
        <w:rPr>
          <w:rFonts w:ascii="Times New Roman" w:hAnsi="Times New Roman" w:cs="Times New Roman"/>
          <w:i/>
          <w:iCs/>
          <w:noProof/>
          <w:kern w:val="0"/>
          <w:szCs w:val="24"/>
        </w:rPr>
        <w:t>American antiquities act of 1906</w:t>
      </w:r>
      <w:r w:rsidRPr="0068651E">
        <w:rPr>
          <w:rFonts w:ascii="Times New Roman" w:hAnsi="Times New Roman" w:cs="Times New Roman"/>
          <w:noProof/>
          <w:kern w:val="0"/>
          <w:szCs w:val="24"/>
        </w:rPr>
        <w:t>. Available at: https://www.nps.gov/rabr/learn/management/upload/antiquities-act.pdf.</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United States Congress (1916) </w:t>
      </w:r>
      <w:r w:rsidRPr="0068651E">
        <w:rPr>
          <w:rFonts w:ascii="Times New Roman" w:hAnsi="Times New Roman" w:cs="Times New Roman"/>
          <w:i/>
          <w:iCs/>
          <w:noProof/>
          <w:kern w:val="0"/>
          <w:szCs w:val="24"/>
        </w:rPr>
        <w:t>National park service organic act of 1916</w:t>
      </w:r>
      <w:r w:rsidRPr="0068651E">
        <w:rPr>
          <w:rFonts w:ascii="Times New Roman" w:hAnsi="Times New Roman" w:cs="Times New Roman"/>
          <w:noProof/>
          <w:kern w:val="0"/>
          <w:szCs w:val="24"/>
        </w:rPr>
        <w:t>. Available at: https://www.nps.gov/foun/learn/management/upload/1916 ACT TO ESTABLISH A NATIONAL PARK SERVICE-5.pdf.</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United States Congress (1935) </w:t>
      </w:r>
      <w:r w:rsidRPr="0068651E">
        <w:rPr>
          <w:rFonts w:ascii="Times New Roman" w:hAnsi="Times New Roman" w:cs="Times New Roman"/>
          <w:i/>
          <w:iCs/>
          <w:noProof/>
          <w:kern w:val="0"/>
          <w:szCs w:val="24"/>
        </w:rPr>
        <w:t>Historic sites act of 1935</w:t>
      </w:r>
      <w:r w:rsidRPr="0068651E">
        <w:rPr>
          <w:rFonts w:ascii="Times New Roman" w:hAnsi="Times New Roman" w:cs="Times New Roman"/>
          <w:noProof/>
          <w:kern w:val="0"/>
          <w:szCs w:val="24"/>
        </w:rPr>
        <w:t>. doi: 10.1007/978-3-030-58292-0_80281.</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United States Congress (1964) </w:t>
      </w:r>
      <w:r w:rsidRPr="0068651E">
        <w:rPr>
          <w:rFonts w:ascii="Times New Roman" w:hAnsi="Times New Roman" w:cs="Times New Roman"/>
          <w:i/>
          <w:iCs/>
          <w:noProof/>
          <w:kern w:val="0"/>
          <w:szCs w:val="24"/>
        </w:rPr>
        <w:t>Wilderness act of 1964</w:t>
      </w:r>
      <w:r w:rsidRPr="0068651E">
        <w:rPr>
          <w:rFonts w:ascii="Times New Roman" w:hAnsi="Times New Roman" w:cs="Times New Roman"/>
          <w:noProof/>
          <w:kern w:val="0"/>
          <w:szCs w:val="24"/>
        </w:rPr>
        <w:t>. Available at: https://www.fs.usda.gov/Internet/FSE_DOCUMENTS/fseprd645666.pdf.</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United States Congress (1966) </w:t>
      </w:r>
      <w:r w:rsidRPr="0068651E">
        <w:rPr>
          <w:rFonts w:ascii="Times New Roman" w:hAnsi="Times New Roman" w:cs="Times New Roman"/>
          <w:i/>
          <w:iCs/>
          <w:noProof/>
          <w:kern w:val="0"/>
          <w:szCs w:val="24"/>
        </w:rPr>
        <w:t>National historic preservation act of 1966</w:t>
      </w:r>
      <w:r w:rsidRPr="0068651E">
        <w:rPr>
          <w:rFonts w:ascii="Times New Roman" w:hAnsi="Times New Roman" w:cs="Times New Roman"/>
          <w:noProof/>
          <w:kern w:val="0"/>
          <w:szCs w:val="24"/>
        </w:rPr>
        <w:t>. Available at: https://en.unesco.org/sites/default/files/usa_nationalhistoricpreservationact_1966_enorof.pdf.</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United States Congress (1970) </w:t>
      </w:r>
      <w:r w:rsidRPr="0068651E">
        <w:rPr>
          <w:rFonts w:ascii="Times New Roman" w:hAnsi="Times New Roman" w:cs="Times New Roman"/>
          <w:i/>
          <w:iCs/>
          <w:noProof/>
          <w:kern w:val="0"/>
          <w:szCs w:val="24"/>
        </w:rPr>
        <w:t>National environmental policy act of 1970</w:t>
      </w:r>
      <w:r w:rsidRPr="0068651E">
        <w:rPr>
          <w:rFonts w:ascii="Times New Roman" w:hAnsi="Times New Roman" w:cs="Times New Roman"/>
          <w:noProof/>
          <w:kern w:val="0"/>
          <w:szCs w:val="24"/>
        </w:rPr>
        <w:t>. Available at: https://www.energy.gov/sites/prod/files/nepapub/nepa_documents/RedDont/Req-NEPA.pdf.</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USAID (2019) </w:t>
      </w:r>
      <w:r w:rsidRPr="0068651E">
        <w:rPr>
          <w:rFonts w:ascii="Times New Roman" w:hAnsi="Times New Roman" w:cs="Times New Roman"/>
          <w:i/>
          <w:iCs/>
          <w:noProof/>
          <w:kern w:val="0"/>
          <w:szCs w:val="24"/>
        </w:rPr>
        <w:t>Rwanda tropical forests and biodiversity analysis</w:t>
      </w:r>
      <w:r w:rsidRPr="0068651E">
        <w:rPr>
          <w:rFonts w:ascii="Times New Roman" w:hAnsi="Times New Roman" w:cs="Times New Roman"/>
          <w:noProof/>
          <w:kern w:val="0"/>
          <w:szCs w:val="24"/>
        </w:rPr>
        <w:t>.</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UWA (2020) </w:t>
      </w:r>
      <w:r w:rsidRPr="0068651E">
        <w:rPr>
          <w:rFonts w:ascii="Times New Roman" w:hAnsi="Times New Roman" w:cs="Times New Roman"/>
          <w:i/>
          <w:iCs/>
          <w:noProof/>
          <w:kern w:val="0"/>
          <w:szCs w:val="24"/>
        </w:rPr>
        <w:t>Uganda wildlife authority community conservation policy</w:t>
      </w:r>
      <w:r w:rsidRPr="0068651E">
        <w:rPr>
          <w:rFonts w:ascii="Times New Roman" w:hAnsi="Times New Roman" w:cs="Times New Roman"/>
          <w:noProof/>
          <w:kern w:val="0"/>
          <w:szCs w:val="24"/>
        </w:rPr>
        <w:t>.</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Venter, O. </w:t>
      </w:r>
      <w:r w:rsidRPr="0068651E">
        <w:rPr>
          <w:rFonts w:ascii="Times New Roman" w:hAnsi="Times New Roman" w:cs="Times New Roman"/>
          <w:i/>
          <w:iCs/>
          <w:noProof/>
          <w:kern w:val="0"/>
          <w:szCs w:val="24"/>
        </w:rPr>
        <w:t>et al.</w:t>
      </w:r>
      <w:r w:rsidRPr="0068651E">
        <w:rPr>
          <w:rFonts w:ascii="Times New Roman" w:hAnsi="Times New Roman" w:cs="Times New Roman"/>
          <w:noProof/>
          <w:kern w:val="0"/>
          <w:szCs w:val="24"/>
        </w:rPr>
        <w:t xml:space="preserve"> (2018) ‘Bias in protected-area location and its effects on long-term aspirations of biodiversity conventions’, </w:t>
      </w:r>
      <w:r w:rsidRPr="0068651E">
        <w:rPr>
          <w:rFonts w:ascii="Times New Roman" w:hAnsi="Times New Roman" w:cs="Times New Roman"/>
          <w:i/>
          <w:iCs/>
          <w:noProof/>
          <w:kern w:val="0"/>
          <w:szCs w:val="24"/>
        </w:rPr>
        <w:t>Conservation Biology</w:t>
      </w:r>
      <w:r w:rsidRPr="0068651E">
        <w:rPr>
          <w:rFonts w:ascii="Times New Roman" w:hAnsi="Times New Roman" w:cs="Times New Roman"/>
          <w:noProof/>
          <w:kern w:val="0"/>
          <w:szCs w:val="24"/>
        </w:rPr>
        <w:t>, 32(1), pp. 127–134. doi: 10.1111/cobi.12970.</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167EF2">
        <w:rPr>
          <w:rFonts w:ascii="Times New Roman" w:hAnsi="Times New Roman" w:cs="Times New Roman"/>
          <w:noProof/>
          <w:kern w:val="0"/>
          <w:szCs w:val="24"/>
          <w:lang w:val="fr-FR"/>
        </w:rPr>
        <w:t xml:space="preserve">Watson, J. E. M. </w:t>
      </w:r>
      <w:r w:rsidRPr="00167EF2">
        <w:rPr>
          <w:rFonts w:ascii="Times New Roman" w:hAnsi="Times New Roman" w:cs="Times New Roman"/>
          <w:i/>
          <w:iCs/>
          <w:noProof/>
          <w:kern w:val="0"/>
          <w:szCs w:val="24"/>
          <w:lang w:val="fr-FR"/>
        </w:rPr>
        <w:t>et al.</w:t>
      </w:r>
      <w:r w:rsidRPr="00167EF2">
        <w:rPr>
          <w:rFonts w:ascii="Times New Roman" w:hAnsi="Times New Roman" w:cs="Times New Roman"/>
          <w:noProof/>
          <w:kern w:val="0"/>
          <w:szCs w:val="24"/>
          <w:lang w:val="fr-FR"/>
        </w:rPr>
        <w:t xml:space="preserve"> </w:t>
      </w:r>
      <w:r w:rsidRPr="0068651E">
        <w:rPr>
          <w:rFonts w:ascii="Times New Roman" w:hAnsi="Times New Roman" w:cs="Times New Roman"/>
          <w:noProof/>
          <w:kern w:val="0"/>
          <w:szCs w:val="24"/>
        </w:rPr>
        <w:t xml:space="preserve">(2014) ‘The performance and potential of protected areas’, </w:t>
      </w:r>
      <w:r w:rsidRPr="0068651E">
        <w:rPr>
          <w:rFonts w:ascii="Times New Roman" w:hAnsi="Times New Roman" w:cs="Times New Roman"/>
          <w:i/>
          <w:iCs/>
          <w:noProof/>
          <w:kern w:val="0"/>
          <w:szCs w:val="24"/>
        </w:rPr>
        <w:t>Nature</w:t>
      </w:r>
      <w:r w:rsidRPr="0068651E">
        <w:rPr>
          <w:rFonts w:ascii="Times New Roman" w:hAnsi="Times New Roman" w:cs="Times New Roman"/>
          <w:noProof/>
          <w:kern w:val="0"/>
          <w:szCs w:val="24"/>
        </w:rPr>
        <w:t>, 515(7525), pp. 67–73. doi: 10.1038/nature13947.</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Weber, J. and Sultana, S. (2013) ‘Why do so few minority people visit national parks? Visitation and the accessibility of “America’s Best Idea”’, </w:t>
      </w:r>
      <w:r w:rsidRPr="0068651E">
        <w:rPr>
          <w:rFonts w:ascii="Times New Roman" w:hAnsi="Times New Roman" w:cs="Times New Roman"/>
          <w:i/>
          <w:iCs/>
          <w:noProof/>
          <w:kern w:val="0"/>
          <w:szCs w:val="24"/>
        </w:rPr>
        <w:t>Annals of the Association of American Geographers</w:t>
      </w:r>
      <w:r w:rsidRPr="0068651E">
        <w:rPr>
          <w:rFonts w:ascii="Times New Roman" w:hAnsi="Times New Roman" w:cs="Times New Roman"/>
          <w:noProof/>
          <w:kern w:val="0"/>
          <w:szCs w:val="24"/>
        </w:rPr>
        <w:t>, 103(3), pp. 437–464. doi: 10.1080/00045608.2012.689240.</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World Bank (2022) </w:t>
      </w:r>
      <w:r w:rsidRPr="0068651E">
        <w:rPr>
          <w:rFonts w:ascii="Times New Roman" w:hAnsi="Times New Roman" w:cs="Times New Roman"/>
          <w:i/>
          <w:iCs/>
          <w:noProof/>
          <w:kern w:val="0"/>
          <w:szCs w:val="24"/>
        </w:rPr>
        <w:t>Forest area data</w:t>
      </w:r>
      <w:r w:rsidRPr="0068651E">
        <w:rPr>
          <w:rFonts w:ascii="Times New Roman" w:hAnsi="Times New Roman" w:cs="Times New Roman"/>
          <w:noProof/>
          <w:kern w:val="0"/>
          <w:szCs w:val="24"/>
        </w:rPr>
        <w:t>. Available at: https://data.worldbank.org/indicator/AG.LND.FRST.ZS (Accessed: 13 November 2022).</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kern w:val="0"/>
          <w:szCs w:val="24"/>
        </w:rPr>
      </w:pPr>
      <w:r w:rsidRPr="0068651E">
        <w:rPr>
          <w:rFonts w:ascii="Times New Roman" w:hAnsi="Times New Roman" w:cs="Times New Roman"/>
          <w:noProof/>
          <w:kern w:val="0"/>
          <w:szCs w:val="24"/>
        </w:rPr>
        <w:t xml:space="preserve">WTTC (2022) </w:t>
      </w:r>
      <w:r w:rsidRPr="0068651E">
        <w:rPr>
          <w:rFonts w:ascii="Times New Roman" w:hAnsi="Times New Roman" w:cs="Times New Roman"/>
          <w:i/>
          <w:iCs/>
          <w:noProof/>
          <w:kern w:val="0"/>
          <w:szCs w:val="24"/>
        </w:rPr>
        <w:t>Travel &amp; Tourism Economic Impact | World Travel &amp; Tourism Council (WTTC)</w:t>
      </w:r>
      <w:r w:rsidRPr="0068651E">
        <w:rPr>
          <w:rFonts w:ascii="Times New Roman" w:hAnsi="Times New Roman" w:cs="Times New Roman"/>
          <w:noProof/>
          <w:kern w:val="0"/>
          <w:szCs w:val="24"/>
        </w:rPr>
        <w:t>. Available at: https://wttc.org/research/economic-impact (Accessed: 12 November 2022).</w:t>
      </w:r>
    </w:p>
    <w:p w:rsidR="0068651E" w:rsidRPr="0068651E" w:rsidRDefault="0068651E" w:rsidP="0068651E">
      <w:pPr>
        <w:widowControl w:val="0"/>
        <w:autoSpaceDE w:val="0"/>
        <w:autoSpaceDN w:val="0"/>
        <w:adjustRightInd w:val="0"/>
        <w:spacing w:line="240" w:lineRule="auto"/>
        <w:rPr>
          <w:rFonts w:ascii="Times New Roman" w:hAnsi="Times New Roman" w:cs="Times New Roman"/>
          <w:noProof/>
        </w:rPr>
      </w:pPr>
      <w:r w:rsidRPr="0068651E">
        <w:rPr>
          <w:rFonts w:ascii="Times New Roman" w:hAnsi="Times New Roman" w:cs="Times New Roman"/>
          <w:noProof/>
          <w:kern w:val="0"/>
          <w:szCs w:val="24"/>
        </w:rPr>
        <w:t xml:space="preserve">Xu Weihua; Pimm Stuart L.; Du Ao; Su Yang; Fan Xinyue; An Li; Liu Jianguo; Ouyang Zhiyun; (2019) ‘Transforming protected area management in China’, </w:t>
      </w:r>
      <w:r w:rsidRPr="0068651E">
        <w:rPr>
          <w:rFonts w:ascii="Times New Roman" w:hAnsi="Times New Roman" w:cs="Times New Roman"/>
          <w:i/>
          <w:iCs/>
          <w:noProof/>
          <w:kern w:val="0"/>
          <w:szCs w:val="24"/>
        </w:rPr>
        <w:t>Trends in Ecology &amp; Evolution</w:t>
      </w:r>
      <w:r w:rsidRPr="0068651E">
        <w:rPr>
          <w:rFonts w:ascii="Times New Roman" w:hAnsi="Times New Roman" w:cs="Times New Roman"/>
          <w:noProof/>
          <w:kern w:val="0"/>
          <w:szCs w:val="24"/>
        </w:rPr>
        <w:t>, 34(9), pp. 762–766. doi: 10.1016/j.tree.2019.05.009.</w:t>
      </w:r>
    </w:p>
    <w:p w:rsidR="00F17E02" w:rsidRPr="00013189" w:rsidRDefault="00F17E02" w:rsidP="0068651E">
      <w:pPr>
        <w:widowControl w:val="0"/>
        <w:autoSpaceDE w:val="0"/>
        <w:autoSpaceDN w:val="0"/>
        <w:adjustRightInd w:val="0"/>
        <w:spacing w:line="240" w:lineRule="auto"/>
        <w:rPr>
          <w:rFonts w:ascii="Times New Roman" w:hAnsi="Times New Roman" w:cs="Times New Roman"/>
          <w:sz w:val="24"/>
          <w:szCs w:val="24"/>
        </w:rPr>
      </w:pPr>
      <w:r w:rsidRPr="007B492C">
        <w:rPr>
          <w:rFonts w:ascii="Times New Roman" w:hAnsi="Times New Roman" w:cs="Times New Roman"/>
          <w:color w:val="00B0F0"/>
        </w:rPr>
        <w:fldChar w:fldCharType="end"/>
      </w:r>
    </w:p>
    <w:sectPr w:rsidR="00F17E02" w:rsidRPr="00013189" w:rsidSect="00F86C85">
      <w:footerReference w:type="default" r:id="rId21"/>
      <w:pgSz w:w="11906" w:h="16838"/>
      <w:pgMar w:top="1440" w:right="1440" w:bottom="1440" w:left="1440"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04180C" w:rsidRDefault="0004180C" w:rsidP="00132367">
      <w:pPr>
        <w:spacing w:after="0" w:line="240" w:lineRule="auto"/>
      </w:pPr>
      <w:r>
        <w:separator/>
      </w:r>
    </w:p>
  </w:endnote>
  <w:endnote w:type="continuationSeparator" w:id="0">
    <w:p w:rsidR="0004180C" w:rsidRDefault="0004180C" w:rsidP="001323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sz w:val="24"/>
        <w:szCs w:val="24"/>
      </w:rPr>
      <w:id w:val="2111697529"/>
      <w:docPartObj>
        <w:docPartGallery w:val="Page Numbers (Bottom of Page)"/>
        <w:docPartUnique/>
      </w:docPartObj>
    </w:sdtPr>
    <w:sdtContent>
      <w:sdt>
        <w:sdtPr>
          <w:rPr>
            <w:rFonts w:ascii="Times New Roman" w:hAnsi="Times New Roman" w:cs="Times New Roman"/>
            <w:sz w:val="24"/>
            <w:szCs w:val="24"/>
          </w:rPr>
          <w:id w:val="1728636285"/>
          <w:docPartObj>
            <w:docPartGallery w:val="Page Numbers (Top of Page)"/>
            <w:docPartUnique/>
          </w:docPartObj>
        </w:sdtPr>
        <w:sdtContent>
          <w:p w:rsidR="00132367" w:rsidRPr="00132367" w:rsidRDefault="00132367">
            <w:pPr>
              <w:pStyle w:val="Footer"/>
              <w:jc w:val="center"/>
              <w:rPr>
                <w:rFonts w:ascii="Times New Roman" w:hAnsi="Times New Roman" w:cs="Times New Roman"/>
                <w:sz w:val="24"/>
                <w:szCs w:val="24"/>
              </w:rPr>
            </w:pPr>
            <w:r w:rsidRPr="00132367">
              <w:rPr>
                <w:rFonts w:ascii="Times New Roman" w:hAnsi="Times New Roman" w:cs="Times New Roman"/>
                <w:sz w:val="24"/>
                <w:szCs w:val="24"/>
              </w:rPr>
              <w:t xml:space="preserve">Page </w:t>
            </w:r>
            <w:r w:rsidRPr="00132367">
              <w:rPr>
                <w:rFonts w:ascii="Times New Roman" w:hAnsi="Times New Roman" w:cs="Times New Roman"/>
                <w:b/>
                <w:bCs/>
                <w:sz w:val="24"/>
                <w:szCs w:val="24"/>
              </w:rPr>
              <w:fldChar w:fldCharType="begin"/>
            </w:r>
            <w:r w:rsidRPr="00132367">
              <w:rPr>
                <w:rFonts w:ascii="Times New Roman" w:hAnsi="Times New Roman" w:cs="Times New Roman"/>
                <w:b/>
                <w:bCs/>
                <w:sz w:val="24"/>
                <w:szCs w:val="24"/>
              </w:rPr>
              <w:instrText xml:space="preserve"> PAGE </w:instrText>
            </w:r>
            <w:r w:rsidRPr="00132367">
              <w:rPr>
                <w:rFonts w:ascii="Times New Roman" w:hAnsi="Times New Roman" w:cs="Times New Roman"/>
                <w:b/>
                <w:bCs/>
                <w:sz w:val="24"/>
                <w:szCs w:val="24"/>
              </w:rPr>
              <w:fldChar w:fldCharType="separate"/>
            </w:r>
            <w:r w:rsidRPr="00132367">
              <w:rPr>
                <w:rFonts w:ascii="Times New Roman" w:hAnsi="Times New Roman" w:cs="Times New Roman"/>
                <w:b/>
                <w:bCs/>
                <w:noProof/>
                <w:sz w:val="24"/>
                <w:szCs w:val="24"/>
              </w:rPr>
              <w:t>2</w:t>
            </w:r>
            <w:r w:rsidRPr="00132367">
              <w:rPr>
                <w:rFonts w:ascii="Times New Roman" w:hAnsi="Times New Roman" w:cs="Times New Roman"/>
                <w:b/>
                <w:bCs/>
                <w:sz w:val="24"/>
                <w:szCs w:val="24"/>
              </w:rPr>
              <w:fldChar w:fldCharType="end"/>
            </w:r>
            <w:r w:rsidRPr="00132367">
              <w:rPr>
                <w:rFonts w:ascii="Times New Roman" w:hAnsi="Times New Roman" w:cs="Times New Roman"/>
                <w:sz w:val="24"/>
                <w:szCs w:val="24"/>
              </w:rPr>
              <w:t xml:space="preserve"> of </w:t>
            </w:r>
            <w:r w:rsidRPr="00132367">
              <w:rPr>
                <w:rFonts w:ascii="Times New Roman" w:hAnsi="Times New Roman" w:cs="Times New Roman"/>
                <w:b/>
                <w:bCs/>
                <w:sz w:val="24"/>
                <w:szCs w:val="24"/>
              </w:rPr>
              <w:fldChar w:fldCharType="begin"/>
            </w:r>
            <w:r w:rsidRPr="00132367">
              <w:rPr>
                <w:rFonts w:ascii="Times New Roman" w:hAnsi="Times New Roman" w:cs="Times New Roman"/>
                <w:b/>
                <w:bCs/>
                <w:sz w:val="24"/>
                <w:szCs w:val="24"/>
              </w:rPr>
              <w:instrText xml:space="preserve"> NUMPAGES  </w:instrText>
            </w:r>
            <w:r w:rsidRPr="00132367">
              <w:rPr>
                <w:rFonts w:ascii="Times New Roman" w:hAnsi="Times New Roman" w:cs="Times New Roman"/>
                <w:b/>
                <w:bCs/>
                <w:sz w:val="24"/>
                <w:szCs w:val="24"/>
              </w:rPr>
              <w:fldChar w:fldCharType="separate"/>
            </w:r>
            <w:r w:rsidRPr="00132367">
              <w:rPr>
                <w:rFonts w:ascii="Times New Roman" w:hAnsi="Times New Roman" w:cs="Times New Roman"/>
                <w:b/>
                <w:bCs/>
                <w:noProof/>
                <w:sz w:val="24"/>
                <w:szCs w:val="24"/>
              </w:rPr>
              <w:t>2</w:t>
            </w:r>
            <w:r w:rsidRPr="00132367">
              <w:rPr>
                <w:rFonts w:ascii="Times New Roman" w:hAnsi="Times New Roman" w:cs="Times New Roman"/>
                <w:b/>
                <w:bCs/>
                <w:sz w:val="24"/>
                <w:szCs w:val="24"/>
              </w:rPr>
              <w:fldChar w:fldCharType="end"/>
            </w:r>
          </w:p>
        </w:sdtContent>
      </w:sdt>
    </w:sdtContent>
  </w:sdt>
  <w:p w:rsidR="00132367" w:rsidRDefault="001323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04180C" w:rsidRDefault="0004180C" w:rsidP="00132367">
      <w:pPr>
        <w:spacing w:after="0" w:line="240" w:lineRule="auto"/>
      </w:pPr>
      <w:r>
        <w:separator/>
      </w:r>
    </w:p>
  </w:footnote>
  <w:footnote w:type="continuationSeparator" w:id="0">
    <w:p w:rsidR="0004180C" w:rsidRDefault="0004180C" w:rsidP="0013236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36E1B"/>
    <w:multiLevelType w:val="multilevel"/>
    <w:tmpl w:val="1ADCAAC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16cid:durableId="200064820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3189"/>
    <w:rsid w:val="000037E1"/>
    <w:rsid w:val="00003E2E"/>
    <w:rsid w:val="000063ED"/>
    <w:rsid w:val="00013189"/>
    <w:rsid w:val="00014201"/>
    <w:rsid w:val="00014B5B"/>
    <w:rsid w:val="00031730"/>
    <w:rsid w:val="000351F2"/>
    <w:rsid w:val="000379D8"/>
    <w:rsid w:val="0004180C"/>
    <w:rsid w:val="000477FA"/>
    <w:rsid w:val="00053E38"/>
    <w:rsid w:val="00054A6C"/>
    <w:rsid w:val="00055E17"/>
    <w:rsid w:val="00086D64"/>
    <w:rsid w:val="000A16FC"/>
    <w:rsid w:val="000A3176"/>
    <w:rsid w:val="000B5A80"/>
    <w:rsid w:val="000D50B7"/>
    <w:rsid w:val="000F095D"/>
    <w:rsid w:val="000F635A"/>
    <w:rsid w:val="00102378"/>
    <w:rsid w:val="00103624"/>
    <w:rsid w:val="00104F81"/>
    <w:rsid w:val="0012560A"/>
    <w:rsid w:val="00132367"/>
    <w:rsid w:val="00162651"/>
    <w:rsid w:val="00167EF2"/>
    <w:rsid w:val="00174019"/>
    <w:rsid w:val="00176216"/>
    <w:rsid w:val="00177819"/>
    <w:rsid w:val="001A1E8E"/>
    <w:rsid w:val="001A71EC"/>
    <w:rsid w:val="001B4166"/>
    <w:rsid w:val="001C6FF1"/>
    <w:rsid w:val="001D1CBE"/>
    <w:rsid w:val="001D75F7"/>
    <w:rsid w:val="001F71A4"/>
    <w:rsid w:val="00200E55"/>
    <w:rsid w:val="0020352E"/>
    <w:rsid w:val="00215F87"/>
    <w:rsid w:val="00224DBC"/>
    <w:rsid w:val="00241FE5"/>
    <w:rsid w:val="00250B88"/>
    <w:rsid w:val="00273676"/>
    <w:rsid w:val="002A5BED"/>
    <w:rsid w:val="002B1C96"/>
    <w:rsid w:val="002B1E97"/>
    <w:rsid w:val="002B31E4"/>
    <w:rsid w:val="002B497D"/>
    <w:rsid w:val="002B50D2"/>
    <w:rsid w:val="002C3F79"/>
    <w:rsid w:val="002D3089"/>
    <w:rsid w:val="002D4C03"/>
    <w:rsid w:val="002E5C63"/>
    <w:rsid w:val="002F3358"/>
    <w:rsid w:val="00306851"/>
    <w:rsid w:val="003266C2"/>
    <w:rsid w:val="003310F1"/>
    <w:rsid w:val="0034013B"/>
    <w:rsid w:val="00345338"/>
    <w:rsid w:val="003A25E2"/>
    <w:rsid w:val="003B5333"/>
    <w:rsid w:val="003C4BBD"/>
    <w:rsid w:val="003E3353"/>
    <w:rsid w:val="00406913"/>
    <w:rsid w:val="004129E8"/>
    <w:rsid w:val="004137D6"/>
    <w:rsid w:val="0041596F"/>
    <w:rsid w:val="00415F9A"/>
    <w:rsid w:val="004170B7"/>
    <w:rsid w:val="00417A4E"/>
    <w:rsid w:val="00417E07"/>
    <w:rsid w:val="004220D9"/>
    <w:rsid w:val="00423617"/>
    <w:rsid w:val="0043537B"/>
    <w:rsid w:val="004361D9"/>
    <w:rsid w:val="0044294C"/>
    <w:rsid w:val="00443DA4"/>
    <w:rsid w:val="00451C42"/>
    <w:rsid w:val="0046423B"/>
    <w:rsid w:val="00467642"/>
    <w:rsid w:val="00476C45"/>
    <w:rsid w:val="004813BC"/>
    <w:rsid w:val="0049336C"/>
    <w:rsid w:val="00494063"/>
    <w:rsid w:val="004A0D1A"/>
    <w:rsid w:val="004A1279"/>
    <w:rsid w:val="004A1664"/>
    <w:rsid w:val="004B2648"/>
    <w:rsid w:val="004B6EDE"/>
    <w:rsid w:val="004D1F43"/>
    <w:rsid w:val="004E4A39"/>
    <w:rsid w:val="004F0CDF"/>
    <w:rsid w:val="004F6CD2"/>
    <w:rsid w:val="0050716C"/>
    <w:rsid w:val="00507D6D"/>
    <w:rsid w:val="00537D54"/>
    <w:rsid w:val="00542081"/>
    <w:rsid w:val="00554E12"/>
    <w:rsid w:val="005678AB"/>
    <w:rsid w:val="0057201F"/>
    <w:rsid w:val="00577CAC"/>
    <w:rsid w:val="00583A6A"/>
    <w:rsid w:val="00594A0A"/>
    <w:rsid w:val="00595BFE"/>
    <w:rsid w:val="005B383E"/>
    <w:rsid w:val="005C071F"/>
    <w:rsid w:val="005C4A35"/>
    <w:rsid w:val="005C72A4"/>
    <w:rsid w:val="005F2A8E"/>
    <w:rsid w:val="005F426E"/>
    <w:rsid w:val="005F4539"/>
    <w:rsid w:val="005F6F37"/>
    <w:rsid w:val="005F7382"/>
    <w:rsid w:val="006114DE"/>
    <w:rsid w:val="0066378E"/>
    <w:rsid w:val="00683E6E"/>
    <w:rsid w:val="0068651E"/>
    <w:rsid w:val="006C6EE0"/>
    <w:rsid w:val="006D2F9B"/>
    <w:rsid w:val="006F4F70"/>
    <w:rsid w:val="00712BB8"/>
    <w:rsid w:val="00727ACA"/>
    <w:rsid w:val="00741C52"/>
    <w:rsid w:val="00744950"/>
    <w:rsid w:val="0078202E"/>
    <w:rsid w:val="00785D49"/>
    <w:rsid w:val="00786CED"/>
    <w:rsid w:val="007A138D"/>
    <w:rsid w:val="007C578C"/>
    <w:rsid w:val="007D05DE"/>
    <w:rsid w:val="007D3CCD"/>
    <w:rsid w:val="007D7694"/>
    <w:rsid w:val="007F4B47"/>
    <w:rsid w:val="008024AE"/>
    <w:rsid w:val="00803637"/>
    <w:rsid w:val="00806A18"/>
    <w:rsid w:val="008114A6"/>
    <w:rsid w:val="00811F16"/>
    <w:rsid w:val="008153F6"/>
    <w:rsid w:val="00816D0A"/>
    <w:rsid w:val="008208E4"/>
    <w:rsid w:val="0084739D"/>
    <w:rsid w:val="008525B3"/>
    <w:rsid w:val="00855490"/>
    <w:rsid w:val="008579E3"/>
    <w:rsid w:val="00863DC0"/>
    <w:rsid w:val="008843CD"/>
    <w:rsid w:val="00892D50"/>
    <w:rsid w:val="0089777D"/>
    <w:rsid w:val="008A01E9"/>
    <w:rsid w:val="008B7314"/>
    <w:rsid w:val="008E150D"/>
    <w:rsid w:val="008E7545"/>
    <w:rsid w:val="008F575F"/>
    <w:rsid w:val="00902252"/>
    <w:rsid w:val="009044A5"/>
    <w:rsid w:val="00904D6F"/>
    <w:rsid w:val="009118EA"/>
    <w:rsid w:val="00913AD0"/>
    <w:rsid w:val="00913F7E"/>
    <w:rsid w:val="00914BDA"/>
    <w:rsid w:val="009378AB"/>
    <w:rsid w:val="00953215"/>
    <w:rsid w:val="00955B8F"/>
    <w:rsid w:val="00961B00"/>
    <w:rsid w:val="00966B40"/>
    <w:rsid w:val="00972A1B"/>
    <w:rsid w:val="00981DA7"/>
    <w:rsid w:val="00984BE6"/>
    <w:rsid w:val="00993F49"/>
    <w:rsid w:val="009952CE"/>
    <w:rsid w:val="009C0F61"/>
    <w:rsid w:val="009C6FA3"/>
    <w:rsid w:val="009D193C"/>
    <w:rsid w:val="009D3F68"/>
    <w:rsid w:val="009D6677"/>
    <w:rsid w:val="009F695F"/>
    <w:rsid w:val="00A03D47"/>
    <w:rsid w:val="00A03E24"/>
    <w:rsid w:val="00A124AE"/>
    <w:rsid w:val="00A12F56"/>
    <w:rsid w:val="00A134F9"/>
    <w:rsid w:val="00A30C2F"/>
    <w:rsid w:val="00A314F5"/>
    <w:rsid w:val="00A61815"/>
    <w:rsid w:val="00A66FFD"/>
    <w:rsid w:val="00A70298"/>
    <w:rsid w:val="00A73556"/>
    <w:rsid w:val="00A73C07"/>
    <w:rsid w:val="00A80D8F"/>
    <w:rsid w:val="00A87238"/>
    <w:rsid w:val="00A94779"/>
    <w:rsid w:val="00AA281F"/>
    <w:rsid w:val="00AA62A0"/>
    <w:rsid w:val="00AB1486"/>
    <w:rsid w:val="00AC6492"/>
    <w:rsid w:val="00AD35DF"/>
    <w:rsid w:val="00AD5441"/>
    <w:rsid w:val="00AE415E"/>
    <w:rsid w:val="00AE662D"/>
    <w:rsid w:val="00AF2575"/>
    <w:rsid w:val="00AF2710"/>
    <w:rsid w:val="00AF35B1"/>
    <w:rsid w:val="00B0510D"/>
    <w:rsid w:val="00B16622"/>
    <w:rsid w:val="00B2382A"/>
    <w:rsid w:val="00B255D7"/>
    <w:rsid w:val="00B33F9D"/>
    <w:rsid w:val="00B469D6"/>
    <w:rsid w:val="00B51649"/>
    <w:rsid w:val="00B5214A"/>
    <w:rsid w:val="00B733D9"/>
    <w:rsid w:val="00B7385A"/>
    <w:rsid w:val="00B74350"/>
    <w:rsid w:val="00B878D1"/>
    <w:rsid w:val="00B93346"/>
    <w:rsid w:val="00BA2177"/>
    <w:rsid w:val="00BA4E6E"/>
    <w:rsid w:val="00BA6A85"/>
    <w:rsid w:val="00BC0515"/>
    <w:rsid w:val="00BC3877"/>
    <w:rsid w:val="00BC3879"/>
    <w:rsid w:val="00BD6D3A"/>
    <w:rsid w:val="00BE7B2E"/>
    <w:rsid w:val="00BE7E0F"/>
    <w:rsid w:val="00BF0C08"/>
    <w:rsid w:val="00BF2D5B"/>
    <w:rsid w:val="00C01A23"/>
    <w:rsid w:val="00C07FC2"/>
    <w:rsid w:val="00C1210E"/>
    <w:rsid w:val="00C154EF"/>
    <w:rsid w:val="00C16C51"/>
    <w:rsid w:val="00C223C4"/>
    <w:rsid w:val="00C33C3A"/>
    <w:rsid w:val="00C53737"/>
    <w:rsid w:val="00C54CB2"/>
    <w:rsid w:val="00C552AD"/>
    <w:rsid w:val="00C64D03"/>
    <w:rsid w:val="00C67FBB"/>
    <w:rsid w:val="00C75AC5"/>
    <w:rsid w:val="00C926FD"/>
    <w:rsid w:val="00CA32DE"/>
    <w:rsid w:val="00CA6D46"/>
    <w:rsid w:val="00CB46F7"/>
    <w:rsid w:val="00CB5E64"/>
    <w:rsid w:val="00CB63DD"/>
    <w:rsid w:val="00CB7796"/>
    <w:rsid w:val="00CC2403"/>
    <w:rsid w:val="00CE35D0"/>
    <w:rsid w:val="00D00694"/>
    <w:rsid w:val="00D0319C"/>
    <w:rsid w:val="00D12F4A"/>
    <w:rsid w:val="00D2188F"/>
    <w:rsid w:val="00D32EE8"/>
    <w:rsid w:val="00D43A43"/>
    <w:rsid w:val="00D570AF"/>
    <w:rsid w:val="00D63DB2"/>
    <w:rsid w:val="00D75EFB"/>
    <w:rsid w:val="00DA1C5C"/>
    <w:rsid w:val="00DA33D7"/>
    <w:rsid w:val="00DC6163"/>
    <w:rsid w:val="00DD51FC"/>
    <w:rsid w:val="00DE793F"/>
    <w:rsid w:val="00E02D28"/>
    <w:rsid w:val="00E31F9A"/>
    <w:rsid w:val="00E51D13"/>
    <w:rsid w:val="00E51E31"/>
    <w:rsid w:val="00E53DE8"/>
    <w:rsid w:val="00E546C7"/>
    <w:rsid w:val="00E61CD2"/>
    <w:rsid w:val="00E64947"/>
    <w:rsid w:val="00E81CBC"/>
    <w:rsid w:val="00E87988"/>
    <w:rsid w:val="00E90731"/>
    <w:rsid w:val="00E94FFE"/>
    <w:rsid w:val="00EA1F7C"/>
    <w:rsid w:val="00EC1B5A"/>
    <w:rsid w:val="00EC31B9"/>
    <w:rsid w:val="00ED07AB"/>
    <w:rsid w:val="00EE28FD"/>
    <w:rsid w:val="00F0456F"/>
    <w:rsid w:val="00F17E02"/>
    <w:rsid w:val="00F2184A"/>
    <w:rsid w:val="00F34E94"/>
    <w:rsid w:val="00F37338"/>
    <w:rsid w:val="00F45C2C"/>
    <w:rsid w:val="00F46972"/>
    <w:rsid w:val="00F71E22"/>
    <w:rsid w:val="00F73C15"/>
    <w:rsid w:val="00F86C85"/>
    <w:rsid w:val="00F87850"/>
    <w:rsid w:val="00F95CFC"/>
    <w:rsid w:val="00F96F39"/>
    <w:rsid w:val="00FA74FD"/>
    <w:rsid w:val="00FB7DBB"/>
    <w:rsid w:val="00FC12A7"/>
    <w:rsid w:val="00FE2D48"/>
    <w:rsid w:val="00FF0AF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1992583"/>
  <w14:defaultImageDpi w14:val="330"/>
  <w15:chartTrackingRefBased/>
  <w15:docId w15:val="{7BFBE3B2-6810-41EC-B671-D781EDE9D4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GB"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13189"/>
    <w:pPr>
      <w:numPr>
        <w:numId w:val="1"/>
      </w:numPr>
      <w:spacing w:before="240" w:after="240"/>
      <w:outlineLvl w:val="0"/>
    </w:pPr>
    <w:rPr>
      <w:rFonts w:ascii="Times New Roman" w:eastAsia="SimSun" w:hAnsi="Times New Roman" w:cs="Times New Roman"/>
      <w:b/>
      <w:bCs/>
      <w:color w:val="0D0D0D" w:themeColor="text1" w:themeTint="F2"/>
      <w:kern w:val="0"/>
      <w:sz w:val="28"/>
      <w:szCs w:val="28"/>
      <w14:ligatures w14:val="none"/>
    </w:rPr>
  </w:style>
  <w:style w:type="paragraph" w:styleId="Heading2">
    <w:name w:val="heading 2"/>
    <w:basedOn w:val="Normal"/>
    <w:next w:val="Normal"/>
    <w:link w:val="Heading2Char"/>
    <w:uiPriority w:val="9"/>
    <w:unhideWhenUsed/>
    <w:qFormat/>
    <w:rsid w:val="00013189"/>
    <w:pPr>
      <w:numPr>
        <w:ilvl w:val="1"/>
        <w:numId w:val="1"/>
      </w:numPr>
      <w:spacing w:before="160"/>
      <w:outlineLvl w:val="1"/>
    </w:pPr>
    <w:rPr>
      <w:rFonts w:ascii="Times New Roman" w:hAnsi="Times New Roman" w:cs="Times New Roman"/>
      <w:b/>
      <w:bCs/>
      <w:kern w:val="0"/>
      <w:sz w:val="24"/>
      <w:szCs w:val="24"/>
      <w14:ligatures w14:val="none"/>
    </w:rPr>
  </w:style>
  <w:style w:type="paragraph" w:styleId="Heading3">
    <w:name w:val="heading 3"/>
    <w:basedOn w:val="Normal"/>
    <w:next w:val="Normal"/>
    <w:link w:val="Heading3Char"/>
    <w:uiPriority w:val="9"/>
    <w:unhideWhenUsed/>
    <w:qFormat/>
    <w:rsid w:val="00013189"/>
    <w:pPr>
      <w:numPr>
        <w:ilvl w:val="2"/>
        <w:numId w:val="1"/>
      </w:numPr>
      <w:spacing w:before="120" w:after="120" w:line="360" w:lineRule="auto"/>
      <w:outlineLvl w:val="2"/>
    </w:pPr>
    <w:rPr>
      <w:rFonts w:ascii="Times New Roman" w:hAnsi="Times New Roman" w:cs="Times New Roman"/>
      <w:b/>
      <w:bCs/>
      <w:i/>
      <w:iCs/>
      <w:color w:val="0D0D0D" w:themeColor="text1" w:themeTint="F2"/>
      <w:kern w:val="0"/>
      <w:sz w:val="24"/>
      <w:szCs w:val="24"/>
      <w14:ligatures w14:val="none"/>
    </w:rPr>
  </w:style>
  <w:style w:type="paragraph" w:styleId="Heading4">
    <w:name w:val="heading 4"/>
    <w:basedOn w:val="Normal"/>
    <w:next w:val="Normal"/>
    <w:link w:val="Heading4Char"/>
    <w:uiPriority w:val="9"/>
    <w:unhideWhenUsed/>
    <w:qFormat/>
    <w:rsid w:val="00F37338"/>
    <w:pPr>
      <w:keepNext/>
      <w:keepLines/>
      <w:numPr>
        <w:ilvl w:val="3"/>
        <w:numId w:val="1"/>
      </w:numPr>
      <w:spacing w:before="120" w:after="120"/>
      <w:outlineLvl w:val="3"/>
    </w:pPr>
    <w:rPr>
      <w:rFonts w:ascii="Times New Roman" w:eastAsiaTheme="majorEastAsia" w:hAnsi="Times New Roman" w:cs="Times New Roman"/>
      <w:i/>
      <w:iCs/>
      <w:color w:val="000000" w:themeColor="text1"/>
      <w:kern w:val="0"/>
      <w:sz w:val="24"/>
      <w:szCs w:val="24"/>
      <w:lang w:val="en-US"/>
      <w14:ligatures w14:val="none"/>
    </w:rPr>
  </w:style>
  <w:style w:type="paragraph" w:styleId="Heading5">
    <w:name w:val="heading 5"/>
    <w:basedOn w:val="Normal"/>
    <w:next w:val="Normal"/>
    <w:link w:val="Heading5Char"/>
    <w:uiPriority w:val="9"/>
    <w:semiHidden/>
    <w:unhideWhenUsed/>
    <w:qFormat/>
    <w:rsid w:val="00013189"/>
    <w:pPr>
      <w:keepNext/>
      <w:keepLines/>
      <w:numPr>
        <w:ilvl w:val="4"/>
        <w:numId w:val="1"/>
      </w:numPr>
      <w:spacing w:before="40" w:after="0"/>
      <w:outlineLvl w:val="4"/>
    </w:pPr>
    <w:rPr>
      <w:rFonts w:asciiTheme="majorHAnsi" w:eastAsiaTheme="majorEastAsia" w:hAnsiTheme="majorHAnsi" w:cstheme="majorBidi"/>
      <w:color w:val="2F5496" w:themeColor="accent1" w:themeShade="BF"/>
      <w:kern w:val="0"/>
      <w:lang w:val="en-US"/>
      <w14:ligatures w14:val="none"/>
    </w:rPr>
  </w:style>
  <w:style w:type="paragraph" w:styleId="Heading6">
    <w:name w:val="heading 6"/>
    <w:basedOn w:val="Normal"/>
    <w:next w:val="Normal"/>
    <w:link w:val="Heading6Char"/>
    <w:uiPriority w:val="9"/>
    <w:semiHidden/>
    <w:unhideWhenUsed/>
    <w:qFormat/>
    <w:rsid w:val="00013189"/>
    <w:pPr>
      <w:keepNext/>
      <w:keepLines/>
      <w:numPr>
        <w:ilvl w:val="5"/>
        <w:numId w:val="1"/>
      </w:numPr>
      <w:spacing w:before="40" w:after="0"/>
      <w:outlineLvl w:val="5"/>
    </w:pPr>
    <w:rPr>
      <w:rFonts w:asciiTheme="majorHAnsi" w:eastAsiaTheme="majorEastAsia" w:hAnsiTheme="majorHAnsi" w:cstheme="majorBidi"/>
      <w:color w:val="1F3763" w:themeColor="accent1" w:themeShade="7F"/>
      <w:kern w:val="0"/>
      <w:lang w:val="en-US"/>
      <w14:ligatures w14:val="none"/>
    </w:rPr>
  </w:style>
  <w:style w:type="paragraph" w:styleId="Heading7">
    <w:name w:val="heading 7"/>
    <w:basedOn w:val="Normal"/>
    <w:next w:val="Normal"/>
    <w:link w:val="Heading7Char"/>
    <w:uiPriority w:val="9"/>
    <w:semiHidden/>
    <w:unhideWhenUsed/>
    <w:qFormat/>
    <w:rsid w:val="00013189"/>
    <w:pPr>
      <w:keepNext/>
      <w:keepLines/>
      <w:numPr>
        <w:ilvl w:val="6"/>
        <w:numId w:val="1"/>
      </w:numPr>
      <w:spacing w:before="40" w:after="0"/>
      <w:outlineLvl w:val="6"/>
    </w:pPr>
    <w:rPr>
      <w:rFonts w:asciiTheme="majorHAnsi" w:eastAsiaTheme="majorEastAsia" w:hAnsiTheme="majorHAnsi" w:cstheme="majorBidi"/>
      <w:i/>
      <w:iCs/>
      <w:color w:val="1F3763" w:themeColor="accent1" w:themeShade="7F"/>
      <w:kern w:val="0"/>
      <w:lang w:val="en-US"/>
      <w14:ligatures w14:val="none"/>
    </w:rPr>
  </w:style>
  <w:style w:type="paragraph" w:styleId="Heading8">
    <w:name w:val="heading 8"/>
    <w:basedOn w:val="Normal"/>
    <w:next w:val="Normal"/>
    <w:link w:val="Heading8Char"/>
    <w:uiPriority w:val="9"/>
    <w:semiHidden/>
    <w:unhideWhenUsed/>
    <w:qFormat/>
    <w:rsid w:val="00013189"/>
    <w:pPr>
      <w:keepNext/>
      <w:keepLines/>
      <w:numPr>
        <w:ilvl w:val="7"/>
        <w:numId w:val="1"/>
      </w:numPr>
      <w:spacing w:before="40" w:after="0"/>
      <w:outlineLvl w:val="7"/>
    </w:pPr>
    <w:rPr>
      <w:rFonts w:asciiTheme="majorHAnsi" w:eastAsiaTheme="majorEastAsia" w:hAnsiTheme="majorHAnsi" w:cstheme="majorBidi"/>
      <w:color w:val="272727" w:themeColor="text1" w:themeTint="D8"/>
      <w:kern w:val="0"/>
      <w:sz w:val="21"/>
      <w:szCs w:val="21"/>
      <w:lang w:val="en-US"/>
      <w14:ligatures w14:val="none"/>
    </w:rPr>
  </w:style>
  <w:style w:type="paragraph" w:styleId="Heading9">
    <w:name w:val="heading 9"/>
    <w:basedOn w:val="Normal"/>
    <w:next w:val="Normal"/>
    <w:link w:val="Heading9Char"/>
    <w:uiPriority w:val="9"/>
    <w:semiHidden/>
    <w:unhideWhenUsed/>
    <w:qFormat/>
    <w:rsid w:val="00013189"/>
    <w:pPr>
      <w:keepNext/>
      <w:keepLines/>
      <w:numPr>
        <w:ilvl w:val="8"/>
        <w:numId w:val="1"/>
      </w:numPr>
      <w:spacing w:before="40" w:after="0"/>
      <w:outlineLvl w:val="8"/>
    </w:pPr>
    <w:rPr>
      <w:rFonts w:asciiTheme="majorHAnsi" w:eastAsiaTheme="majorEastAsia" w:hAnsiTheme="majorHAnsi" w:cstheme="majorBidi"/>
      <w:i/>
      <w:iCs/>
      <w:color w:val="272727" w:themeColor="text1" w:themeTint="D8"/>
      <w:kern w:val="0"/>
      <w:sz w:val="21"/>
      <w:szCs w:val="21"/>
      <w:lang w:val="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13189"/>
    <w:rPr>
      <w:rFonts w:ascii="Times New Roman" w:eastAsia="SimSun" w:hAnsi="Times New Roman" w:cs="Times New Roman"/>
      <w:b/>
      <w:bCs/>
      <w:color w:val="0D0D0D" w:themeColor="text1" w:themeTint="F2"/>
      <w:kern w:val="0"/>
      <w:sz w:val="28"/>
      <w:szCs w:val="28"/>
      <w14:ligatures w14:val="none"/>
    </w:rPr>
  </w:style>
  <w:style w:type="character" w:customStyle="1" w:styleId="Heading2Char">
    <w:name w:val="Heading 2 Char"/>
    <w:basedOn w:val="DefaultParagraphFont"/>
    <w:link w:val="Heading2"/>
    <w:uiPriority w:val="9"/>
    <w:rsid w:val="00013189"/>
    <w:rPr>
      <w:rFonts w:ascii="Times New Roman" w:hAnsi="Times New Roman" w:cs="Times New Roman"/>
      <w:b/>
      <w:bCs/>
      <w:kern w:val="0"/>
      <w:sz w:val="24"/>
      <w:szCs w:val="24"/>
      <w14:ligatures w14:val="none"/>
    </w:rPr>
  </w:style>
  <w:style w:type="character" w:customStyle="1" w:styleId="Heading3Char">
    <w:name w:val="Heading 3 Char"/>
    <w:basedOn w:val="DefaultParagraphFont"/>
    <w:link w:val="Heading3"/>
    <w:uiPriority w:val="9"/>
    <w:rsid w:val="00013189"/>
    <w:rPr>
      <w:rFonts w:ascii="Times New Roman" w:hAnsi="Times New Roman" w:cs="Times New Roman"/>
      <w:b/>
      <w:bCs/>
      <w:i/>
      <w:iCs/>
      <w:color w:val="0D0D0D" w:themeColor="text1" w:themeTint="F2"/>
      <w:kern w:val="0"/>
      <w:sz w:val="24"/>
      <w:szCs w:val="24"/>
      <w14:ligatures w14:val="none"/>
    </w:rPr>
  </w:style>
  <w:style w:type="character" w:customStyle="1" w:styleId="Heading4Char">
    <w:name w:val="Heading 4 Char"/>
    <w:basedOn w:val="DefaultParagraphFont"/>
    <w:link w:val="Heading4"/>
    <w:uiPriority w:val="9"/>
    <w:rsid w:val="00F37338"/>
    <w:rPr>
      <w:rFonts w:ascii="Times New Roman" w:eastAsiaTheme="majorEastAsia" w:hAnsi="Times New Roman" w:cs="Times New Roman"/>
      <w:i/>
      <w:iCs/>
      <w:color w:val="000000" w:themeColor="text1"/>
      <w:kern w:val="0"/>
      <w:sz w:val="24"/>
      <w:szCs w:val="24"/>
      <w:lang w:val="en-US"/>
      <w14:ligatures w14:val="none"/>
    </w:rPr>
  </w:style>
  <w:style w:type="character" w:customStyle="1" w:styleId="Heading5Char">
    <w:name w:val="Heading 5 Char"/>
    <w:basedOn w:val="DefaultParagraphFont"/>
    <w:link w:val="Heading5"/>
    <w:uiPriority w:val="9"/>
    <w:semiHidden/>
    <w:rsid w:val="00013189"/>
    <w:rPr>
      <w:rFonts w:asciiTheme="majorHAnsi" w:eastAsiaTheme="majorEastAsia" w:hAnsiTheme="majorHAnsi" w:cstheme="majorBidi"/>
      <w:color w:val="2F5496" w:themeColor="accent1" w:themeShade="BF"/>
      <w:kern w:val="0"/>
      <w:lang w:val="en-US"/>
      <w14:ligatures w14:val="none"/>
    </w:rPr>
  </w:style>
  <w:style w:type="character" w:customStyle="1" w:styleId="Heading6Char">
    <w:name w:val="Heading 6 Char"/>
    <w:basedOn w:val="DefaultParagraphFont"/>
    <w:link w:val="Heading6"/>
    <w:uiPriority w:val="9"/>
    <w:semiHidden/>
    <w:rsid w:val="00013189"/>
    <w:rPr>
      <w:rFonts w:asciiTheme="majorHAnsi" w:eastAsiaTheme="majorEastAsia" w:hAnsiTheme="majorHAnsi" w:cstheme="majorBidi"/>
      <w:color w:val="1F3763" w:themeColor="accent1" w:themeShade="7F"/>
      <w:kern w:val="0"/>
      <w:lang w:val="en-US"/>
      <w14:ligatures w14:val="none"/>
    </w:rPr>
  </w:style>
  <w:style w:type="character" w:customStyle="1" w:styleId="Heading7Char">
    <w:name w:val="Heading 7 Char"/>
    <w:basedOn w:val="DefaultParagraphFont"/>
    <w:link w:val="Heading7"/>
    <w:uiPriority w:val="9"/>
    <w:semiHidden/>
    <w:rsid w:val="00013189"/>
    <w:rPr>
      <w:rFonts w:asciiTheme="majorHAnsi" w:eastAsiaTheme="majorEastAsia" w:hAnsiTheme="majorHAnsi" w:cstheme="majorBidi"/>
      <w:i/>
      <w:iCs/>
      <w:color w:val="1F3763" w:themeColor="accent1" w:themeShade="7F"/>
      <w:kern w:val="0"/>
      <w:lang w:val="en-US"/>
      <w14:ligatures w14:val="none"/>
    </w:rPr>
  </w:style>
  <w:style w:type="character" w:customStyle="1" w:styleId="Heading8Char">
    <w:name w:val="Heading 8 Char"/>
    <w:basedOn w:val="DefaultParagraphFont"/>
    <w:link w:val="Heading8"/>
    <w:uiPriority w:val="9"/>
    <w:semiHidden/>
    <w:rsid w:val="00013189"/>
    <w:rPr>
      <w:rFonts w:asciiTheme="majorHAnsi" w:eastAsiaTheme="majorEastAsia" w:hAnsiTheme="majorHAnsi" w:cstheme="majorBidi"/>
      <w:color w:val="272727" w:themeColor="text1" w:themeTint="D8"/>
      <w:kern w:val="0"/>
      <w:sz w:val="21"/>
      <w:szCs w:val="21"/>
      <w:lang w:val="en-US"/>
      <w14:ligatures w14:val="none"/>
    </w:rPr>
  </w:style>
  <w:style w:type="character" w:customStyle="1" w:styleId="Heading9Char">
    <w:name w:val="Heading 9 Char"/>
    <w:basedOn w:val="DefaultParagraphFont"/>
    <w:link w:val="Heading9"/>
    <w:uiPriority w:val="9"/>
    <w:semiHidden/>
    <w:rsid w:val="00013189"/>
    <w:rPr>
      <w:rFonts w:asciiTheme="majorHAnsi" w:eastAsiaTheme="majorEastAsia" w:hAnsiTheme="majorHAnsi" w:cstheme="majorBidi"/>
      <w:i/>
      <w:iCs/>
      <w:color w:val="272727" w:themeColor="text1" w:themeTint="D8"/>
      <w:kern w:val="0"/>
      <w:sz w:val="21"/>
      <w:szCs w:val="21"/>
      <w:lang w:val="en-US"/>
      <w14:ligatures w14:val="none"/>
    </w:rPr>
  </w:style>
  <w:style w:type="character" w:styleId="Hyperlink">
    <w:name w:val="Hyperlink"/>
    <w:basedOn w:val="DefaultParagraphFont"/>
    <w:uiPriority w:val="99"/>
    <w:unhideWhenUsed/>
    <w:rsid w:val="00013189"/>
    <w:rPr>
      <w:color w:val="0563C1" w:themeColor="hyperlink"/>
      <w:u w:val="single"/>
    </w:rPr>
  </w:style>
  <w:style w:type="paragraph" w:styleId="Title">
    <w:name w:val="Title"/>
    <w:basedOn w:val="Normal"/>
    <w:next w:val="Normal"/>
    <w:link w:val="TitleChar"/>
    <w:uiPriority w:val="10"/>
    <w:qFormat/>
    <w:rsid w:val="00013189"/>
    <w:pPr>
      <w:spacing w:before="360" w:after="360"/>
      <w:jc w:val="center"/>
    </w:pPr>
    <w:rPr>
      <w:rFonts w:ascii="Times New Roman" w:eastAsia="SimSun" w:hAnsi="Times New Roman" w:cs="Times New Roman"/>
      <w:b/>
      <w:bCs/>
      <w:color w:val="0D0D0D" w:themeColor="text1" w:themeTint="F2"/>
      <w:kern w:val="0"/>
      <w:sz w:val="30"/>
      <w:szCs w:val="30"/>
      <w14:ligatures w14:val="none"/>
    </w:rPr>
  </w:style>
  <w:style w:type="character" w:customStyle="1" w:styleId="TitleChar">
    <w:name w:val="Title Char"/>
    <w:basedOn w:val="DefaultParagraphFont"/>
    <w:link w:val="Title"/>
    <w:uiPriority w:val="10"/>
    <w:rsid w:val="00013189"/>
    <w:rPr>
      <w:rFonts w:ascii="Times New Roman" w:eastAsia="SimSun" w:hAnsi="Times New Roman" w:cs="Times New Roman"/>
      <w:b/>
      <w:bCs/>
      <w:color w:val="0D0D0D" w:themeColor="text1" w:themeTint="F2"/>
      <w:kern w:val="0"/>
      <w:sz w:val="30"/>
      <w:szCs w:val="30"/>
      <w14:ligatures w14:val="none"/>
    </w:rPr>
  </w:style>
  <w:style w:type="paragraph" w:styleId="Caption">
    <w:name w:val="caption"/>
    <w:basedOn w:val="Normal"/>
    <w:next w:val="Normal"/>
    <w:uiPriority w:val="35"/>
    <w:unhideWhenUsed/>
    <w:qFormat/>
    <w:rsid w:val="00F17E02"/>
    <w:pPr>
      <w:spacing w:after="200" w:line="240" w:lineRule="auto"/>
      <w:jc w:val="center"/>
    </w:pPr>
    <w:rPr>
      <w:rFonts w:ascii="Times New Roman" w:hAnsi="Times New Roman" w:cs="Times New Roman"/>
      <w:i/>
      <w:iCs/>
      <w:color w:val="44546A" w:themeColor="text2"/>
      <w:kern w:val="0"/>
      <w:sz w:val="24"/>
      <w:szCs w:val="24"/>
      <w14:ligatures w14:val="none"/>
    </w:rPr>
  </w:style>
  <w:style w:type="paragraph" w:styleId="Header">
    <w:name w:val="header"/>
    <w:basedOn w:val="Normal"/>
    <w:link w:val="HeaderChar"/>
    <w:uiPriority w:val="99"/>
    <w:unhideWhenUsed/>
    <w:rsid w:val="00F17E02"/>
    <w:pPr>
      <w:tabs>
        <w:tab w:val="center" w:pos="4513"/>
        <w:tab w:val="right" w:pos="9026"/>
      </w:tabs>
      <w:spacing w:after="0" w:line="240" w:lineRule="auto"/>
    </w:pPr>
    <w:rPr>
      <w:kern w:val="0"/>
      <w:lang w:val="en-US"/>
      <w14:ligatures w14:val="none"/>
    </w:rPr>
  </w:style>
  <w:style w:type="character" w:customStyle="1" w:styleId="HeaderChar">
    <w:name w:val="Header Char"/>
    <w:basedOn w:val="DefaultParagraphFont"/>
    <w:link w:val="Header"/>
    <w:uiPriority w:val="99"/>
    <w:rsid w:val="00F17E02"/>
    <w:rPr>
      <w:kern w:val="0"/>
      <w:lang w:val="en-US"/>
      <w14:ligatures w14:val="none"/>
    </w:rPr>
  </w:style>
  <w:style w:type="paragraph" w:styleId="Footer">
    <w:name w:val="footer"/>
    <w:basedOn w:val="Normal"/>
    <w:link w:val="FooterChar"/>
    <w:uiPriority w:val="99"/>
    <w:unhideWhenUsed/>
    <w:rsid w:val="00F17E02"/>
    <w:pPr>
      <w:tabs>
        <w:tab w:val="center" w:pos="4513"/>
        <w:tab w:val="right" w:pos="9026"/>
      </w:tabs>
      <w:spacing w:after="0" w:line="240" w:lineRule="auto"/>
    </w:pPr>
    <w:rPr>
      <w:kern w:val="0"/>
      <w:lang w:val="en-US"/>
      <w14:ligatures w14:val="none"/>
    </w:rPr>
  </w:style>
  <w:style w:type="character" w:customStyle="1" w:styleId="FooterChar">
    <w:name w:val="Footer Char"/>
    <w:basedOn w:val="DefaultParagraphFont"/>
    <w:link w:val="Footer"/>
    <w:uiPriority w:val="99"/>
    <w:rsid w:val="00F17E02"/>
    <w:rPr>
      <w:kern w:val="0"/>
      <w:lang w:val="en-US"/>
      <w14:ligatures w14:val="none"/>
    </w:rPr>
  </w:style>
  <w:style w:type="table" w:styleId="TableGrid">
    <w:name w:val="Table Grid"/>
    <w:basedOn w:val="TableNormal"/>
    <w:uiPriority w:val="39"/>
    <w:rsid w:val="00F17E02"/>
    <w:pPr>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17E02"/>
    <w:pPr>
      <w:spacing w:after="0" w:line="240" w:lineRule="auto"/>
    </w:pPr>
    <w:rPr>
      <w:kern w:val="0"/>
      <w:lang w:val="en-US"/>
      <w14:ligatures w14:val="none"/>
    </w:rPr>
  </w:style>
  <w:style w:type="paragraph" w:styleId="ListParagraph">
    <w:name w:val="List Paragraph"/>
    <w:basedOn w:val="Normal"/>
    <w:uiPriority w:val="34"/>
    <w:qFormat/>
    <w:rsid w:val="00F17E02"/>
    <w:pPr>
      <w:ind w:left="720"/>
      <w:contextualSpacing/>
    </w:pPr>
    <w:rPr>
      <w:kern w:val="0"/>
      <w:lang w:val="en-US"/>
      <w14:ligatures w14:val="none"/>
    </w:rPr>
  </w:style>
  <w:style w:type="paragraph" w:styleId="FootnoteText">
    <w:name w:val="footnote text"/>
    <w:basedOn w:val="Normal"/>
    <w:link w:val="FootnoteTextChar"/>
    <w:uiPriority w:val="99"/>
    <w:semiHidden/>
    <w:unhideWhenUsed/>
    <w:rsid w:val="00F17E02"/>
    <w:pPr>
      <w:spacing w:after="0" w:line="240" w:lineRule="auto"/>
    </w:pPr>
    <w:rPr>
      <w:kern w:val="0"/>
      <w:sz w:val="20"/>
      <w:szCs w:val="20"/>
      <w:lang w:val="en-US"/>
      <w14:ligatures w14:val="none"/>
    </w:rPr>
  </w:style>
  <w:style w:type="character" w:customStyle="1" w:styleId="FootnoteTextChar">
    <w:name w:val="Footnote Text Char"/>
    <w:basedOn w:val="DefaultParagraphFont"/>
    <w:link w:val="FootnoteText"/>
    <w:uiPriority w:val="99"/>
    <w:semiHidden/>
    <w:rsid w:val="00F17E02"/>
    <w:rPr>
      <w:kern w:val="0"/>
      <w:sz w:val="20"/>
      <w:szCs w:val="20"/>
      <w:lang w:val="en-US"/>
      <w14:ligatures w14:val="none"/>
    </w:rPr>
  </w:style>
  <w:style w:type="character" w:styleId="FootnoteReference">
    <w:name w:val="footnote reference"/>
    <w:basedOn w:val="DefaultParagraphFont"/>
    <w:uiPriority w:val="99"/>
    <w:semiHidden/>
    <w:unhideWhenUsed/>
    <w:rsid w:val="00F17E02"/>
    <w:rPr>
      <w:vertAlign w:val="superscript"/>
    </w:rPr>
  </w:style>
  <w:style w:type="character" w:styleId="LineNumber">
    <w:name w:val="line number"/>
    <w:basedOn w:val="DefaultParagraphFont"/>
    <w:uiPriority w:val="99"/>
    <w:semiHidden/>
    <w:unhideWhenUsed/>
    <w:rsid w:val="00F17E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652366">
      <w:bodyDiv w:val="1"/>
      <w:marLeft w:val="0"/>
      <w:marRight w:val="0"/>
      <w:marTop w:val="0"/>
      <w:marBottom w:val="0"/>
      <w:divBdr>
        <w:top w:val="none" w:sz="0" w:space="0" w:color="auto"/>
        <w:left w:val="none" w:sz="0" w:space="0" w:color="auto"/>
        <w:bottom w:val="none" w:sz="0" w:space="0" w:color="auto"/>
        <w:right w:val="none" w:sz="0" w:space="0" w:color="auto"/>
      </w:divBdr>
      <w:divsChild>
        <w:div w:id="2006737323">
          <w:marLeft w:val="0"/>
          <w:marRight w:val="0"/>
          <w:marTop w:val="0"/>
          <w:marBottom w:val="0"/>
          <w:divBdr>
            <w:top w:val="single" w:sz="2" w:space="0" w:color="auto"/>
            <w:left w:val="single" w:sz="2" w:space="0" w:color="auto"/>
            <w:bottom w:val="single" w:sz="6" w:space="0" w:color="auto"/>
            <w:right w:val="single" w:sz="2" w:space="0" w:color="auto"/>
          </w:divBdr>
          <w:divsChild>
            <w:div w:id="746533831">
              <w:marLeft w:val="0"/>
              <w:marRight w:val="0"/>
              <w:marTop w:val="100"/>
              <w:marBottom w:val="100"/>
              <w:divBdr>
                <w:top w:val="single" w:sz="2" w:space="0" w:color="D9D9E3"/>
                <w:left w:val="single" w:sz="2" w:space="0" w:color="D9D9E3"/>
                <w:bottom w:val="single" w:sz="2" w:space="0" w:color="D9D9E3"/>
                <w:right w:val="single" w:sz="2" w:space="0" w:color="D9D9E3"/>
              </w:divBdr>
              <w:divsChild>
                <w:div w:id="1857423945">
                  <w:marLeft w:val="0"/>
                  <w:marRight w:val="0"/>
                  <w:marTop w:val="0"/>
                  <w:marBottom w:val="0"/>
                  <w:divBdr>
                    <w:top w:val="single" w:sz="2" w:space="0" w:color="D9D9E3"/>
                    <w:left w:val="single" w:sz="2" w:space="0" w:color="D9D9E3"/>
                    <w:bottom w:val="single" w:sz="2" w:space="0" w:color="D9D9E3"/>
                    <w:right w:val="single" w:sz="2" w:space="0" w:color="D9D9E3"/>
                  </w:divBdr>
                  <w:divsChild>
                    <w:div w:id="120880843">
                      <w:marLeft w:val="0"/>
                      <w:marRight w:val="0"/>
                      <w:marTop w:val="0"/>
                      <w:marBottom w:val="0"/>
                      <w:divBdr>
                        <w:top w:val="single" w:sz="2" w:space="0" w:color="D9D9E3"/>
                        <w:left w:val="single" w:sz="2" w:space="0" w:color="D9D9E3"/>
                        <w:bottom w:val="single" w:sz="2" w:space="0" w:color="D9D9E3"/>
                        <w:right w:val="single" w:sz="2" w:space="0" w:color="D9D9E3"/>
                      </w:divBdr>
                      <w:divsChild>
                        <w:div w:id="2140031498">
                          <w:marLeft w:val="0"/>
                          <w:marRight w:val="0"/>
                          <w:marTop w:val="0"/>
                          <w:marBottom w:val="0"/>
                          <w:divBdr>
                            <w:top w:val="single" w:sz="2" w:space="0" w:color="D9D9E3"/>
                            <w:left w:val="single" w:sz="2" w:space="0" w:color="D9D9E3"/>
                            <w:bottom w:val="single" w:sz="2" w:space="0" w:color="D9D9E3"/>
                            <w:right w:val="single" w:sz="2" w:space="0" w:color="D9D9E3"/>
                          </w:divBdr>
                          <w:divsChild>
                            <w:div w:id="195247434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206064380">
      <w:bodyDiv w:val="1"/>
      <w:marLeft w:val="0"/>
      <w:marRight w:val="0"/>
      <w:marTop w:val="0"/>
      <w:marBottom w:val="0"/>
      <w:divBdr>
        <w:top w:val="none" w:sz="0" w:space="0" w:color="auto"/>
        <w:left w:val="none" w:sz="0" w:space="0" w:color="auto"/>
        <w:bottom w:val="none" w:sz="0" w:space="0" w:color="auto"/>
        <w:right w:val="none" w:sz="0" w:space="0" w:color="auto"/>
      </w:divBdr>
    </w:div>
    <w:div w:id="471409563">
      <w:bodyDiv w:val="1"/>
      <w:marLeft w:val="0"/>
      <w:marRight w:val="0"/>
      <w:marTop w:val="0"/>
      <w:marBottom w:val="0"/>
      <w:divBdr>
        <w:top w:val="none" w:sz="0" w:space="0" w:color="auto"/>
        <w:left w:val="none" w:sz="0" w:space="0" w:color="auto"/>
        <w:bottom w:val="none" w:sz="0" w:space="0" w:color="auto"/>
        <w:right w:val="none" w:sz="0" w:space="0" w:color="auto"/>
      </w:divBdr>
    </w:div>
    <w:div w:id="980114486">
      <w:bodyDiv w:val="1"/>
      <w:marLeft w:val="0"/>
      <w:marRight w:val="0"/>
      <w:marTop w:val="0"/>
      <w:marBottom w:val="0"/>
      <w:divBdr>
        <w:top w:val="none" w:sz="0" w:space="0" w:color="auto"/>
        <w:left w:val="none" w:sz="0" w:space="0" w:color="auto"/>
        <w:bottom w:val="none" w:sz="0" w:space="0" w:color="auto"/>
        <w:right w:val="none" w:sz="0" w:space="0" w:color="auto"/>
      </w:divBdr>
      <w:divsChild>
        <w:div w:id="1052656142">
          <w:marLeft w:val="0"/>
          <w:marRight w:val="0"/>
          <w:marTop w:val="0"/>
          <w:marBottom w:val="0"/>
          <w:divBdr>
            <w:top w:val="single" w:sz="2" w:space="0" w:color="auto"/>
            <w:left w:val="single" w:sz="2" w:space="0" w:color="auto"/>
            <w:bottom w:val="single" w:sz="6" w:space="0" w:color="auto"/>
            <w:right w:val="single" w:sz="2" w:space="0" w:color="auto"/>
          </w:divBdr>
          <w:divsChild>
            <w:div w:id="1178740160">
              <w:marLeft w:val="0"/>
              <w:marRight w:val="0"/>
              <w:marTop w:val="100"/>
              <w:marBottom w:val="100"/>
              <w:divBdr>
                <w:top w:val="single" w:sz="2" w:space="0" w:color="D9D9E3"/>
                <w:left w:val="single" w:sz="2" w:space="0" w:color="D9D9E3"/>
                <w:bottom w:val="single" w:sz="2" w:space="0" w:color="D9D9E3"/>
                <w:right w:val="single" w:sz="2" w:space="0" w:color="D9D9E3"/>
              </w:divBdr>
              <w:divsChild>
                <w:div w:id="226653034">
                  <w:marLeft w:val="0"/>
                  <w:marRight w:val="0"/>
                  <w:marTop w:val="0"/>
                  <w:marBottom w:val="0"/>
                  <w:divBdr>
                    <w:top w:val="single" w:sz="2" w:space="0" w:color="D9D9E3"/>
                    <w:left w:val="single" w:sz="2" w:space="0" w:color="D9D9E3"/>
                    <w:bottom w:val="single" w:sz="2" w:space="0" w:color="D9D9E3"/>
                    <w:right w:val="single" w:sz="2" w:space="0" w:color="D9D9E3"/>
                  </w:divBdr>
                  <w:divsChild>
                    <w:div w:id="1933590383">
                      <w:marLeft w:val="0"/>
                      <w:marRight w:val="0"/>
                      <w:marTop w:val="0"/>
                      <w:marBottom w:val="0"/>
                      <w:divBdr>
                        <w:top w:val="single" w:sz="2" w:space="0" w:color="D9D9E3"/>
                        <w:left w:val="single" w:sz="2" w:space="0" w:color="D9D9E3"/>
                        <w:bottom w:val="single" w:sz="2" w:space="0" w:color="D9D9E3"/>
                        <w:right w:val="single" w:sz="2" w:space="0" w:color="D9D9E3"/>
                      </w:divBdr>
                      <w:divsChild>
                        <w:div w:id="1740711942">
                          <w:marLeft w:val="0"/>
                          <w:marRight w:val="0"/>
                          <w:marTop w:val="0"/>
                          <w:marBottom w:val="0"/>
                          <w:divBdr>
                            <w:top w:val="single" w:sz="2" w:space="0" w:color="D9D9E3"/>
                            <w:left w:val="single" w:sz="2" w:space="0" w:color="D9D9E3"/>
                            <w:bottom w:val="single" w:sz="2" w:space="0" w:color="D9D9E3"/>
                            <w:right w:val="single" w:sz="2" w:space="0" w:color="D9D9E3"/>
                          </w:divBdr>
                          <w:divsChild>
                            <w:div w:id="10041968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1447433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lgat4@yahoo.com" TargetMode="External"/><Relationship Id="rId13" Type="http://schemas.openxmlformats.org/officeDocument/2006/relationships/chart" Target="charts/chart4.xml"/><Relationship Id="rId18"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chart" Target="charts/chart9.xml"/><Relationship Id="rId4" Type="http://schemas.openxmlformats.org/officeDocument/2006/relationships/settings" Target="settings.xml"/><Relationship Id="rId9" Type="http://schemas.openxmlformats.org/officeDocument/2006/relationships/image" Target="media/image1.tif"/><Relationship Id="rId14" Type="http://schemas.openxmlformats.org/officeDocument/2006/relationships/chart" Target="charts/chart5.xml"/><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6"/>
          <c:order val="6"/>
          <c:tx>
            <c:strRef>
              <c:f>'Repeal+Duplication+Contrad. Ind'!$H$113</c:f>
              <c:strCache>
                <c:ptCount val="1"/>
                <c:pt idx="0">
                  <c:v>Repeal index</c:v>
                </c:pt>
              </c:strCache>
            </c:strRef>
          </c:tx>
          <c:spPr>
            <a:solidFill>
              <a:schemeClr val="accent5">
                <a:lumMod val="60000"/>
                <a:lumOff val="40000"/>
              </a:schemeClr>
            </a:solidFill>
            <a:ln w="19050">
              <a:solidFill>
                <a:schemeClr val="accent5">
                  <a:lumMod val="50000"/>
                </a:schemeClr>
              </a:solidFill>
            </a:ln>
            <a:effectLst/>
          </c:spPr>
          <c:invertIfNegative val="0"/>
          <c:cat>
            <c:strRef>
              <c:f>'Repeal+Duplication+Contrad. Ind'!$A$114:$A$117</c:f>
              <c:strCache>
                <c:ptCount val="4"/>
                <c:pt idx="0">
                  <c:v>USA</c:v>
                </c:pt>
                <c:pt idx="1">
                  <c:v>Rwanda</c:v>
                </c:pt>
                <c:pt idx="2">
                  <c:v>DRC</c:v>
                </c:pt>
                <c:pt idx="3">
                  <c:v>Uganda</c:v>
                </c:pt>
              </c:strCache>
            </c:strRef>
          </c:cat>
          <c:val>
            <c:numRef>
              <c:f>'Repeal+Duplication+Contrad. Ind'!$H$114:$H$117</c:f>
              <c:numCache>
                <c:formatCode>General</c:formatCode>
                <c:ptCount val="4"/>
                <c:pt idx="0">
                  <c:v>4.7058823529411761E-3</c:v>
                </c:pt>
                <c:pt idx="1">
                  <c:v>6.4102564102564097E-2</c:v>
                </c:pt>
                <c:pt idx="2">
                  <c:v>0.11538461538461539</c:v>
                </c:pt>
                <c:pt idx="3">
                  <c:v>7.575757575757576E-2</c:v>
                </c:pt>
              </c:numCache>
            </c:numRef>
          </c:val>
          <c:extLst>
            <c:ext xmlns:c16="http://schemas.microsoft.com/office/drawing/2014/chart" uri="{C3380CC4-5D6E-409C-BE32-E72D297353CC}">
              <c16:uniqueId val="{00000000-3F0E-46A9-AAFB-B900C4FBA605}"/>
            </c:ext>
          </c:extLst>
        </c:ser>
        <c:ser>
          <c:idx val="7"/>
          <c:order val="7"/>
          <c:tx>
            <c:strRef>
              <c:f>'Repeal+Duplication+Contrad. Ind'!$I$113</c:f>
              <c:strCache>
                <c:ptCount val="1"/>
                <c:pt idx="0">
                  <c:v>Duplication index</c:v>
                </c:pt>
              </c:strCache>
            </c:strRef>
          </c:tx>
          <c:spPr>
            <a:solidFill>
              <a:schemeClr val="accent2">
                <a:lumMod val="40000"/>
                <a:lumOff val="60000"/>
              </a:schemeClr>
            </a:solidFill>
            <a:ln w="19050">
              <a:solidFill>
                <a:schemeClr val="accent2">
                  <a:lumMod val="50000"/>
                </a:schemeClr>
              </a:solidFill>
            </a:ln>
            <a:effectLst/>
          </c:spPr>
          <c:invertIfNegative val="0"/>
          <c:cat>
            <c:strRef>
              <c:f>'Repeal+Duplication+Contrad. Ind'!$A$114:$A$117</c:f>
              <c:strCache>
                <c:ptCount val="4"/>
                <c:pt idx="0">
                  <c:v>USA</c:v>
                </c:pt>
                <c:pt idx="1">
                  <c:v>Rwanda</c:v>
                </c:pt>
                <c:pt idx="2">
                  <c:v>DRC</c:v>
                </c:pt>
                <c:pt idx="3">
                  <c:v>Uganda</c:v>
                </c:pt>
              </c:strCache>
            </c:strRef>
          </c:cat>
          <c:val>
            <c:numRef>
              <c:f>'Repeal+Duplication+Contrad. Ind'!$I$114:$I$117</c:f>
              <c:numCache>
                <c:formatCode>General</c:formatCode>
                <c:ptCount val="4"/>
                <c:pt idx="0">
                  <c:v>1.4901960784313726E-2</c:v>
                </c:pt>
                <c:pt idx="1">
                  <c:v>0.12820512820512819</c:v>
                </c:pt>
                <c:pt idx="2">
                  <c:v>0.12820512820512819</c:v>
                </c:pt>
                <c:pt idx="3">
                  <c:v>0.10606060606060606</c:v>
                </c:pt>
              </c:numCache>
            </c:numRef>
          </c:val>
          <c:extLst>
            <c:ext xmlns:c16="http://schemas.microsoft.com/office/drawing/2014/chart" uri="{C3380CC4-5D6E-409C-BE32-E72D297353CC}">
              <c16:uniqueId val="{00000001-3F0E-46A9-AAFB-B900C4FBA605}"/>
            </c:ext>
          </c:extLst>
        </c:ser>
        <c:ser>
          <c:idx val="8"/>
          <c:order val="8"/>
          <c:tx>
            <c:strRef>
              <c:f>'Repeal+Duplication+Contrad. Ind'!$J$113</c:f>
              <c:strCache>
                <c:ptCount val="1"/>
                <c:pt idx="0">
                  <c:v>Contradiction index</c:v>
                </c:pt>
              </c:strCache>
            </c:strRef>
          </c:tx>
          <c:spPr>
            <a:solidFill>
              <a:schemeClr val="accent6">
                <a:lumMod val="40000"/>
                <a:lumOff val="60000"/>
              </a:schemeClr>
            </a:solidFill>
            <a:ln w="19050">
              <a:solidFill>
                <a:srgbClr val="00B050"/>
              </a:solidFill>
            </a:ln>
            <a:effectLst/>
          </c:spPr>
          <c:invertIfNegative val="0"/>
          <c:cat>
            <c:strRef>
              <c:f>'Repeal+Duplication+Contrad. Ind'!$A$114:$A$117</c:f>
              <c:strCache>
                <c:ptCount val="4"/>
                <c:pt idx="0">
                  <c:v>USA</c:v>
                </c:pt>
                <c:pt idx="1">
                  <c:v>Rwanda</c:v>
                </c:pt>
                <c:pt idx="2">
                  <c:v>DRC</c:v>
                </c:pt>
                <c:pt idx="3">
                  <c:v>Uganda</c:v>
                </c:pt>
              </c:strCache>
            </c:strRef>
          </c:cat>
          <c:val>
            <c:numRef>
              <c:f>'Repeal+Duplication+Contrad. Ind'!$J$114:$J$117</c:f>
              <c:numCache>
                <c:formatCode>General</c:formatCode>
                <c:ptCount val="4"/>
                <c:pt idx="0">
                  <c:v>1.5686274509803921E-2</c:v>
                </c:pt>
                <c:pt idx="1">
                  <c:v>0.11538461538461539</c:v>
                </c:pt>
                <c:pt idx="2">
                  <c:v>7.6923076923076927E-2</c:v>
                </c:pt>
                <c:pt idx="3">
                  <c:v>0.15151515151515152</c:v>
                </c:pt>
              </c:numCache>
            </c:numRef>
          </c:val>
          <c:extLst>
            <c:ext xmlns:c16="http://schemas.microsoft.com/office/drawing/2014/chart" uri="{C3380CC4-5D6E-409C-BE32-E72D297353CC}">
              <c16:uniqueId val="{00000002-3F0E-46A9-AAFB-B900C4FBA605}"/>
            </c:ext>
          </c:extLst>
        </c:ser>
        <c:dLbls>
          <c:showLegendKey val="0"/>
          <c:showVal val="0"/>
          <c:showCatName val="0"/>
          <c:showSerName val="0"/>
          <c:showPercent val="0"/>
          <c:showBubbleSize val="0"/>
        </c:dLbls>
        <c:gapWidth val="150"/>
        <c:axId val="133087536"/>
        <c:axId val="133103376"/>
      </c:barChart>
      <c:lineChart>
        <c:grouping val="standard"/>
        <c:varyColors val="0"/>
        <c:ser>
          <c:idx val="0"/>
          <c:order val="0"/>
          <c:tx>
            <c:strRef>
              <c:f>'Repeal+Duplication+Contrad. Ind'!$B$113</c:f>
              <c:strCache>
                <c:ptCount val="1"/>
                <c:pt idx="0">
                  <c:v>PAs establishment</c:v>
                </c:pt>
              </c:strCache>
            </c:strRef>
          </c:tx>
          <c:spPr>
            <a:ln w="19050" cap="rnd">
              <a:solidFill>
                <a:schemeClr val="tx1">
                  <a:lumMod val="75000"/>
                  <a:lumOff val="25000"/>
                </a:schemeClr>
              </a:solidFill>
              <a:round/>
            </a:ln>
            <a:effectLst/>
          </c:spPr>
          <c:marker>
            <c:symbol val="none"/>
          </c:marker>
          <c:cat>
            <c:strRef>
              <c:f>'Repeal+Duplication+Contrad. Ind'!$A$114:$A$117</c:f>
              <c:strCache>
                <c:ptCount val="4"/>
                <c:pt idx="0">
                  <c:v>USA</c:v>
                </c:pt>
                <c:pt idx="1">
                  <c:v>Rwanda</c:v>
                </c:pt>
                <c:pt idx="2">
                  <c:v>DRC</c:v>
                </c:pt>
                <c:pt idx="3">
                  <c:v>Uganda</c:v>
                </c:pt>
              </c:strCache>
            </c:strRef>
          </c:cat>
          <c:val>
            <c:numRef>
              <c:f>'Repeal+Duplication+Contrad. Ind'!$B$114:$B$117</c:f>
              <c:numCache>
                <c:formatCode>0.000</c:formatCode>
                <c:ptCount val="4"/>
                <c:pt idx="0">
                  <c:v>0.6</c:v>
                </c:pt>
                <c:pt idx="1">
                  <c:v>0.1</c:v>
                </c:pt>
                <c:pt idx="2">
                  <c:v>0.17499999999999999</c:v>
                </c:pt>
                <c:pt idx="3">
                  <c:v>0.125</c:v>
                </c:pt>
              </c:numCache>
            </c:numRef>
          </c:val>
          <c:smooth val="1"/>
          <c:extLst>
            <c:ext xmlns:c16="http://schemas.microsoft.com/office/drawing/2014/chart" uri="{C3380CC4-5D6E-409C-BE32-E72D297353CC}">
              <c16:uniqueId val="{00000003-3F0E-46A9-AAFB-B900C4FBA605}"/>
            </c:ext>
          </c:extLst>
        </c:ser>
        <c:ser>
          <c:idx val="1"/>
          <c:order val="1"/>
          <c:tx>
            <c:strRef>
              <c:f>'Repeal+Duplication+Contrad. Ind'!$C$113</c:f>
              <c:strCache>
                <c:ptCount val="1"/>
                <c:pt idx="0">
                  <c:v>Cultural +Historical resource</c:v>
                </c:pt>
              </c:strCache>
            </c:strRef>
          </c:tx>
          <c:spPr>
            <a:ln w="19050" cap="rnd">
              <a:solidFill>
                <a:srgbClr val="F709C4"/>
              </a:solidFill>
              <a:round/>
            </a:ln>
            <a:effectLst/>
          </c:spPr>
          <c:marker>
            <c:symbol val="none"/>
          </c:marker>
          <c:cat>
            <c:strRef>
              <c:f>'Repeal+Duplication+Contrad. Ind'!$A$114:$A$117</c:f>
              <c:strCache>
                <c:ptCount val="4"/>
                <c:pt idx="0">
                  <c:v>USA</c:v>
                </c:pt>
                <c:pt idx="1">
                  <c:v>Rwanda</c:v>
                </c:pt>
                <c:pt idx="2">
                  <c:v>DRC</c:v>
                </c:pt>
                <c:pt idx="3">
                  <c:v>Uganda</c:v>
                </c:pt>
              </c:strCache>
            </c:strRef>
          </c:cat>
          <c:val>
            <c:numRef>
              <c:f>'Repeal+Duplication+Contrad. Ind'!$C$114:$C$117</c:f>
              <c:numCache>
                <c:formatCode>0.000</c:formatCode>
                <c:ptCount val="4"/>
                <c:pt idx="0">
                  <c:v>1</c:v>
                </c:pt>
                <c:pt idx="1">
                  <c:v>0</c:v>
                </c:pt>
                <c:pt idx="2">
                  <c:v>0</c:v>
                </c:pt>
                <c:pt idx="3">
                  <c:v>0</c:v>
                </c:pt>
              </c:numCache>
            </c:numRef>
          </c:val>
          <c:smooth val="1"/>
          <c:extLst>
            <c:ext xmlns:c16="http://schemas.microsoft.com/office/drawing/2014/chart" uri="{C3380CC4-5D6E-409C-BE32-E72D297353CC}">
              <c16:uniqueId val="{00000004-3F0E-46A9-AAFB-B900C4FBA605}"/>
            </c:ext>
          </c:extLst>
        </c:ser>
        <c:ser>
          <c:idx val="2"/>
          <c:order val="2"/>
          <c:tx>
            <c:strRef>
              <c:f>'Repeal+Duplication+Contrad. Ind'!$D$113</c:f>
              <c:strCache>
                <c:ptCount val="1"/>
                <c:pt idx="0">
                  <c:v>Environmental</c:v>
                </c:pt>
              </c:strCache>
            </c:strRef>
          </c:tx>
          <c:spPr>
            <a:ln w="19050" cap="rnd">
              <a:solidFill>
                <a:srgbClr val="2FD6ED"/>
              </a:solidFill>
              <a:round/>
            </a:ln>
            <a:effectLst/>
          </c:spPr>
          <c:marker>
            <c:symbol val="none"/>
          </c:marker>
          <c:cat>
            <c:strRef>
              <c:f>'Repeal+Duplication+Contrad. Ind'!$A$114:$A$117</c:f>
              <c:strCache>
                <c:ptCount val="4"/>
                <c:pt idx="0">
                  <c:v>USA</c:v>
                </c:pt>
                <c:pt idx="1">
                  <c:v>Rwanda</c:v>
                </c:pt>
                <c:pt idx="2">
                  <c:v>DRC</c:v>
                </c:pt>
                <c:pt idx="3">
                  <c:v>Uganda</c:v>
                </c:pt>
              </c:strCache>
            </c:strRef>
          </c:cat>
          <c:val>
            <c:numRef>
              <c:f>'Repeal+Duplication+Contrad. Ind'!$D$114:$D$117</c:f>
              <c:numCache>
                <c:formatCode>0.000</c:formatCode>
                <c:ptCount val="4"/>
                <c:pt idx="0">
                  <c:v>0.29166666666666669</c:v>
                </c:pt>
                <c:pt idx="1">
                  <c:v>0.29166666666666669</c:v>
                </c:pt>
                <c:pt idx="2">
                  <c:v>0.16666666666666666</c:v>
                </c:pt>
                <c:pt idx="3">
                  <c:v>0.25</c:v>
                </c:pt>
              </c:numCache>
            </c:numRef>
          </c:val>
          <c:smooth val="1"/>
          <c:extLst>
            <c:ext xmlns:c16="http://schemas.microsoft.com/office/drawing/2014/chart" uri="{C3380CC4-5D6E-409C-BE32-E72D297353CC}">
              <c16:uniqueId val="{00000005-3F0E-46A9-AAFB-B900C4FBA605}"/>
            </c:ext>
          </c:extLst>
        </c:ser>
        <c:ser>
          <c:idx val="3"/>
          <c:order val="3"/>
          <c:tx>
            <c:strRef>
              <c:f>'Repeal+Duplication+Contrad. Ind'!$E$113</c:f>
              <c:strCache>
                <c:ptCount val="1"/>
                <c:pt idx="0">
                  <c:v>Pollution disposal</c:v>
                </c:pt>
              </c:strCache>
            </c:strRef>
          </c:tx>
          <c:spPr>
            <a:ln w="19050" cap="rnd">
              <a:solidFill>
                <a:srgbClr val="7030A0"/>
              </a:solidFill>
              <a:round/>
            </a:ln>
            <a:effectLst/>
          </c:spPr>
          <c:marker>
            <c:symbol val="none"/>
          </c:marker>
          <c:cat>
            <c:strRef>
              <c:f>'Repeal+Duplication+Contrad. Ind'!$A$114:$A$117</c:f>
              <c:strCache>
                <c:ptCount val="4"/>
                <c:pt idx="0">
                  <c:v>USA</c:v>
                </c:pt>
                <c:pt idx="1">
                  <c:v>Rwanda</c:v>
                </c:pt>
                <c:pt idx="2">
                  <c:v>DRC</c:v>
                </c:pt>
                <c:pt idx="3">
                  <c:v>Uganda</c:v>
                </c:pt>
              </c:strCache>
            </c:strRef>
          </c:cat>
          <c:val>
            <c:numRef>
              <c:f>'Repeal+Duplication+Contrad. Ind'!$E$114:$E$117</c:f>
              <c:numCache>
                <c:formatCode>0.000</c:formatCode>
                <c:ptCount val="4"/>
                <c:pt idx="0">
                  <c:v>0.90909090909090906</c:v>
                </c:pt>
                <c:pt idx="1">
                  <c:v>9.0909090909090912E-2</c:v>
                </c:pt>
                <c:pt idx="2">
                  <c:v>0</c:v>
                </c:pt>
                <c:pt idx="3">
                  <c:v>0</c:v>
                </c:pt>
              </c:numCache>
            </c:numRef>
          </c:val>
          <c:smooth val="1"/>
          <c:extLst>
            <c:ext xmlns:c16="http://schemas.microsoft.com/office/drawing/2014/chart" uri="{C3380CC4-5D6E-409C-BE32-E72D297353CC}">
              <c16:uniqueId val="{00000006-3F0E-46A9-AAFB-B900C4FBA605}"/>
            </c:ext>
          </c:extLst>
        </c:ser>
        <c:ser>
          <c:idx val="4"/>
          <c:order val="4"/>
          <c:tx>
            <c:strRef>
              <c:f>'Repeal+Duplication+Contrad. Ind'!$F$113</c:f>
              <c:strCache>
                <c:ptCount val="1"/>
                <c:pt idx="0">
                  <c:v>Species preservation</c:v>
                </c:pt>
              </c:strCache>
            </c:strRef>
          </c:tx>
          <c:spPr>
            <a:ln w="19050" cap="rnd">
              <a:solidFill>
                <a:srgbClr val="36FA3B"/>
              </a:solidFill>
              <a:round/>
            </a:ln>
            <a:effectLst/>
          </c:spPr>
          <c:marker>
            <c:symbol val="none"/>
          </c:marker>
          <c:cat>
            <c:strRef>
              <c:f>'Repeal+Duplication+Contrad. Ind'!$A$114:$A$117</c:f>
              <c:strCache>
                <c:ptCount val="4"/>
                <c:pt idx="0">
                  <c:v>USA</c:v>
                </c:pt>
                <c:pt idx="1">
                  <c:v>Rwanda</c:v>
                </c:pt>
                <c:pt idx="2">
                  <c:v>DRC</c:v>
                </c:pt>
                <c:pt idx="3">
                  <c:v>Uganda</c:v>
                </c:pt>
              </c:strCache>
            </c:strRef>
          </c:cat>
          <c:val>
            <c:numRef>
              <c:f>'Repeal+Duplication+Contrad. Ind'!$F$114:$F$117</c:f>
              <c:numCache>
                <c:formatCode>0.000</c:formatCode>
                <c:ptCount val="4"/>
                <c:pt idx="0">
                  <c:v>0.5</c:v>
                </c:pt>
                <c:pt idx="1">
                  <c:v>0.125</c:v>
                </c:pt>
                <c:pt idx="2">
                  <c:v>0.25</c:v>
                </c:pt>
                <c:pt idx="3">
                  <c:v>0.125</c:v>
                </c:pt>
              </c:numCache>
            </c:numRef>
          </c:val>
          <c:smooth val="1"/>
          <c:extLst>
            <c:ext xmlns:c16="http://schemas.microsoft.com/office/drawing/2014/chart" uri="{C3380CC4-5D6E-409C-BE32-E72D297353CC}">
              <c16:uniqueId val="{00000007-3F0E-46A9-AAFB-B900C4FBA605}"/>
            </c:ext>
          </c:extLst>
        </c:ser>
        <c:ser>
          <c:idx val="5"/>
          <c:order val="5"/>
          <c:tx>
            <c:strRef>
              <c:f>'Repeal+Duplication+Contrad. Ind'!$G$113</c:f>
              <c:strCache>
                <c:ptCount val="1"/>
                <c:pt idx="0">
                  <c:v>Comprehensiveness index</c:v>
                </c:pt>
              </c:strCache>
            </c:strRef>
          </c:tx>
          <c:spPr>
            <a:ln w="19050" cap="rnd">
              <a:solidFill>
                <a:srgbClr val="FF0000"/>
              </a:solidFill>
              <a:round/>
            </a:ln>
            <a:effectLst>
              <a:softEdge rad="0"/>
            </a:effectLst>
          </c:spPr>
          <c:marker>
            <c:symbol val="none"/>
          </c:marker>
          <c:cat>
            <c:strRef>
              <c:f>'Repeal+Duplication+Contrad. Ind'!$A$114:$A$117</c:f>
              <c:strCache>
                <c:ptCount val="4"/>
                <c:pt idx="0">
                  <c:v>USA</c:v>
                </c:pt>
                <c:pt idx="1">
                  <c:v>Rwanda</c:v>
                </c:pt>
                <c:pt idx="2">
                  <c:v>DRC</c:v>
                </c:pt>
                <c:pt idx="3">
                  <c:v>Uganda</c:v>
                </c:pt>
              </c:strCache>
            </c:strRef>
          </c:cat>
          <c:val>
            <c:numRef>
              <c:f>'Repeal+Duplication+Contrad. Ind'!$G$114:$G$117</c:f>
              <c:numCache>
                <c:formatCode>General</c:formatCode>
                <c:ptCount val="4"/>
                <c:pt idx="0">
                  <c:v>3.3007575757575758</c:v>
                </c:pt>
                <c:pt idx="1">
                  <c:v>0.60757575757575766</c:v>
                </c:pt>
                <c:pt idx="2">
                  <c:v>0.59166666666666667</c:v>
                </c:pt>
                <c:pt idx="3">
                  <c:v>0.5</c:v>
                </c:pt>
              </c:numCache>
            </c:numRef>
          </c:val>
          <c:smooth val="1"/>
          <c:extLst>
            <c:ext xmlns:c16="http://schemas.microsoft.com/office/drawing/2014/chart" uri="{C3380CC4-5D6E-409C-BE32-E72D297353CC}">
              <c16:uniqueId val="{00000008-3F0E-46A9-AAFB-B900C4FBA605}"/>
            </c:ext>
          </c:extLst>
        </c:ser>
        <c:dLbls>
          <c:showLegendKey val="0"/>
          <c:showVal val="0"/>
          <c:showCatName val="0"/>
          <c:showSerName val="0"/>
          <c:showPercent val="0"/>
          <c:showBubbleSize val="0"/>
        </c:dLbls>
        <c:marker val="1"/>
        <c:smooth val="0"/>
        <c:axId val="1664700688"/>
        <c:axId val="1664695408"/>
      </c:lineChart>
      <c:catAx>
        <c:axId val="1664700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crossAx val="1664695408"/>
        <c:crosses val="autoZero"/>
        <c:auto val="1"/>
        <c:lblAlgn val="ctr"/>
        <c:lblOffset val="100"/>
        <c:noMultiLvlLbl val="0"/>
      </c:catAx>
      <c:valAx>
        <c:axId val="1664695408"/>
        <c:scaling>
          <c:orientation val="minMax"/>
          <c:max val="3.5"/>
          <c:min val="0"/>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sz="900">
                    <a:solidFill>
                      <a:schemeClr val="tx1">
                        <a:lumMod val="95000"/>
                        <a:lumOff val="5000"/>
                      </a:schemeClr>
                    </a:solidFill>
                    <a:latin typeface="Times New Roman" panose="02020603050405020304" pitchFamily="18" charset="0"/>
                    <a:cs typeface="Times New Roman" panose="02020603050405020304" pitchFamily="18" charset="0"/>
                  </a:rPr>
                  <a:t>Repeal, Duplication, and Contradiction index</a:t>
                </a:r>
              </a:p>
            </c:rich>
          </c:tx>
          <c:layout>
            <c:manualLayout>
              <c:xMode val="edge"/>
              <c:yMode val="edge"/>
              <c:x val="0.95169510303567473"/>
              <c:y val="0.1587815716299177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crossAx val="1664700688"/>
        <c:crosses val="autoZero"/>
        <c:crossBetween val="between"/>
        <c:majorUnit val="0.5"/>
        <c:minorUnit val="0.1"/>
      </c:valAx>
      <c:valAx>
        <c:axId val="133103376"/>
        <c:scaling>
          <c:orientation val="minMax"/>
        </c:scaling>
        <c:delete val="0"/>
        <c:axPos val="r"/>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GB" sz="900">
                    <a:solidFill>
                      <a:schemeClr val="tx1">
                        <a:lumMod val="95000"/>
                        <a:lumOff val="5000"/>
                      </a:schemeClr>
                    </a:solidFill>
                    <a:latin typeface="Times New Roman" panose="02020603050405020304" pitchFamily="18" charset="0"/>
                    <a:cs typeface="Times New Roman" panose="02020603050405020304" pitchFamily="18" charset="0"/>
                  </a:rPr>
                  <a:t>Comprehensiveness index</a:t>
                </a:r>
              </a:p>
            </c:rich>
          </c:tx>
          <c:layout>
            <c:manualLayout>
              <c:xMode val="edge"/>
              <c:yMode val="edge"/>
              <c:x val="1.2891716144611105E-2"/>
              <c:y val="0.25135331388474219"/>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crossAx val="133087536"/>
        <c:crosses val="max"/>
        <c:crossBetween val="between"/>
      </c:valAx>
      <c:catAx>
        <c:axId val="133087536"/>
        <c:scaling>
          <c:orientation val="minMax"/>
        </c:scaling>
        <c:delete val="1"/>
        <c:axPos val="b"/>
        <c:numFmt formatCode="General" sourceLinked="1"/>
        <c:majorTickMark val="out"/>
        <c:minorTickMark val="none"/>
        <c:tickLblPos val="nextTo"/>
        <c:crossAx val="133103376"/>
        <c:crosses val="autoZero"/>
        <c:auto val="1"/>
        <c:lblAlgn val="ctr"/>
        <c:lblOffset val="100"/>
        <c:noMultiLvlLbl val="0"/>
      </c:catAx>
      <c:spPr>
        <a:noFill/>
        <a:ln>
          <a:noFill/>
        </a:ln>
        <a:effectLst/>
      </c:spPr>
    </c:plotArea>
    <c:legend>
      <c:legendPos val="b"/>
      <c:layout>
        <c:manualLayout>
          <c:xMode val="edge"/>
          <c:yMode val="edge"/>
          <c:x val="1.6827502699986563E-2"/>
          <c:y val="0.86090474166534436"/>
          <c:w val="0.95969753171502803"/>
          <c:h val="0.1214456039737200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rgbClr val="00B050"/>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 1'!$A$27</c:f>
              <c:strCache>
                <c:ptCount val="1"/>
                <c:pt idx="0">
                  <c:v>PAs system of the DRC</c:v>
                </c:pt>
              </c:strCache>
            </c:strRef>
          </c:tx>
          <c:spPr>
            <a:ln w="9525" cap="rnd">
              <a:solidFill>
                <a:srgbClr val="7030A0"/>
              </a:solidFill>
              <a:round/>
            </a:ln>
            <a:effectLst/>
          </c:spPr>
          <c:marker>
            <c:symbol val="circle"/>
            <c:size val="5"/>
            <c:spPr>
              <a:solidFill>
                <a:srgbClr val="7030A0"/>
              </a:solidFill>
              <a:ln w="9525">
                <a:solidFill>
                  <a:srgbClr val="7030A0"/>
                </a:solidFill>
              </a:ln>
              <a:effectLst/>
            </c:spPr>
          </c:marker>
          <c:cat>
            <c:strRef>
              <c:f>'Sheet 1'!$B$26:$L$26</c:f>
              <c:strCache>
                <c:ptCount val="11"/>
                <c:pt idx="0">
                  <c:v>Comprehensiveness of the conservation policy environment</c:v>
                </c:pt>
                <c:pt idx="1">
                  <c:v>Instability of the conservation policy instruments</c:v>
                </c:pt>
                <c:pt idx="2">
                  <c:v>Similarity of conservation policy instruments</c:v>
                </c:pt>
                <c:pt idx="3">
                  <c:v>Inconsistance of conservation policy instruments</c:v>
                </c:pt>
                <c:pt idx="4">
                  <c:v>Longevity of managing institution</c:v>
                </c:pt>
                <c:pt idx="5">
                  <c:v>Stability of managing institution</c:v>
                </c:pt>
                <c:pt idx="6">
                  <c:v>Comprehensiveness of managing institution's mission</c:v>
                </c:pt>
                <c:pt idx="7">
                  <c:v>Focus of managing institution's mission on conservation</c:v>
                </c:pt>
                <c:pt idx="8">
                  <c:v>Relative PAs national coverage</c:v>
                </c:pt>
                <c:pt idx="9">
                  <c:v>Comprehensiveness of PAs categories</c:v>
                </c:pt>
                <c:pt idx="10">
                  <c:v>Trend of establishment of new PAs</c:v>
                </c:pt>
              </c:strCache>
            </c:strRef>
          </c:cat>
          <c:val>
            <c:numRef>
              <c:f>'Sheet 1'!$B$27:$L$27</c:f>
              <c:numCache>
                <c:formatCode>General</c:formatCode>
                <c:ptCount val="11"/>
                <c:pt idx="0">
                  <c:v>0.11833333333333333</c:v>
                </c:pt>
                <c:pt idx="1">
                  <c:v>0.44387125360002533</c:v>
                </c:pt>
                <c:pt idx="2">
                  <c:v>0.3397306862196513</c:v>
                </c:pt>
                <c:pt idx="3">
                  <c:v>0.21396697051756361</c:v>
                </c:pt>
                <c:pt idx="4">
                  <c:v>0.23482849604221637</c:v>
                </c:pt>
                <c:pt idx="5">
                  <c:v>0</c:v>
                </c:pt>
                <c:pt idx="6">
                  <c:v>0.21212121212121213</c:v>
                </c:pt>
                <c:pt idx="7">
                  <c:v>0.33333333333333331</c:v>
                </c:pt>
                <c:pt idx="8">
                  <c:v>0.25970448284497877</c:v>
                </c:pt>
                <c:pt idx="9">
                  <c:v>0.17499999999999999</c:v>
                </c:pt>
                <c:pt idx="10">
                  <c:v>0.21228501228501231</c:v>
                </c:pt>
              </c:numCache>
            </c:numRef>
          </c:val>
          <c:smooth val="1"/>
          <c:extLst>
            <c:ext xmlns:c16="http://schemas.microsoft.com/office/drawing/2014/chart" uri="{C3380CC4-5D6E-409C-BE32-E72D297353CC}">
              <c16:uniqueId val="{00000000-35B3-4C47-9076-3B1284F9DC3F}"/>
            </c:ext>
          </c:extLst>
        </c:ser>
        <c:ser>
          <c:idx val="1"/>
          <c:order val="1"/>
          <c:tx>
            <c:strRef>
              <c:f>'Sheet 1'!$A$28</c:f>
              <c:strCache>
                <c:ptCount val="1"/>
                <c:pt idx="0">
                  <c:v>PAs system of Rwanda</c:v>
                </c:pt>
              </c:strCache>
            </c:strRef>
          </c:tx>
          <c:spPr>
            <a:ln w="9525" cap="rnd">
              <a:solidFill>
                <a:srgbClr val="00B0F0"/>
              </a:solidFill>
              <a:round/>
            </a:ln>
            <a:effectLst/>
          </c:spPr>
          <c:marker>
            <c:symbol val="circle"/>
            <c:size val="5"/>
            <c:spPr>
              <a:solidFill>
                <a:srgbClr val="00B0F0"/>
              </a:solidFill>
              <a:ln w="9525">
                <a:solidFill>
                  <a:srgbClr val="00B0F0"/>
                </a:solidFill>
              </a:ln>
              <a:effectLst/>
            </c:spPr>
          </c:marker>
          <c:cat>
            <c:strRef>
              <c:f>'Sheet 1'!$B$26:$L$26</c:f>
              <c:strCache>
                <c:ptCount val="11"/>
                <c:pt idx="0">
                  <c:v>Comprehensiveness of the conservation policy environment</c:v>
                </c:pt>
                <c:pt idx="1">
                  <c:v>Instability of the conservation policy instruments</c:v>
                </c:pt>
                <c:pt idx="2">
                  <c:v>Similarity of conservation policy instruments</c:v>
                </c:pt>
                <c:pt idx="3">
                  <c:v>Inconsistance of conservation policy instruments</c:v>
                </c:pt>
                <c:pt idx="4">
                  <c:v>Longevity of managing institution</c:v>
                </c:pt>
                <c:pt idx="5">
                  <c:v>Stability of managing institution</c:v>
                </c:pt>
                <c:pt idx="6">
                  <c:v>Comprehensiveness of managing institution's mission</c:v>
                </c:pt>
                <c:pt idx="7">
                  <c:v>Focus of managing institution's mission on conservation</c:v>
                </c:pt>
                <c:pt idx="8">
                  <c:v>Relative PAs national coverage</c:v>
                </c:pt>
                <c:pt idx="9">
                  <c:v>Comprehensiveness of PAs categories</c:v>
                </c:pt>
                <c:pt idx="10">
                  <c:v>Trend of establishment of new PAs</c:v>
                </c:pt>
              </c:strCache>
            </c:strRef>
          </c:cat>
          <c:val>
            <c:numRef>
              <c:f>'Sheet 1'!$B$28:$L$28</c:f>
              <c:numCache>
                <c:formatCode>General</c:formatCode>
                <c:ptCount val="11"/>
                <c:pt idx="0">
                  <c:v>0.12151515151515153</c:v>
                </c:pt>
                <c:pt idx="1">
                  <c:v>0.24659514088890291</c:v>
                </c:pt>
                <c:pt idx="2">
                  <c:v>0.3397306862196513</c:v>
                </c:pt>
                <c:pt idx="3">
                  <c:v>0.3209504557763454</c:v>
                </c:pt>
                <c:pt idx="4">
                  <c:v>0.23482849604221637</c:v>
                </c:pt>
                <c:pt idx="5">
                  <c:v>0.2</c:v>
                </c:pt>
                <c:pt idx="6">
                  <c:v>0.21212121212121213</c:v>
                </c:pt>
                <c:pt idx="7">
                  <c:v>0</c:v>
                </c:pt>
                <c:pt idx="8">
                  <c:v>0.22814926120711249</c:v>
                </c:pt>
                <c:pt idx="9">
                  <c:v>0.05</c:v>
                </c:pt>
                <c:pt idx="10">
                  <c:v>0.37149877149877153</c:v>
                </c:pt>
              </c:numCache>
            </c:numRef>
          </c:val>
          <c:smooth val="1"/>
          <c:extLst>
            <c:ext xmlns:c16="http://schemas.microsoft.com/office/drawing/2014/chart" uri="{C3380CC4-5D6E-409C-BE32-E72D297353CC}">
              <c16:uniqueId val="{00000001-35B3-4C47-9076-3B1284F9DC3F}"/>
            </c:ext>
          </c:extLst>
        </c:ser>
        <c:ser>
          <c:idx val="2"/>
          <c:order val="2"/>
          <c:tx>
            <c:strRef>
              <c:f>'Sheet 1'!$A$29</c:f>
              <c:strCache>
                <c:ptCount val="1"/>
                <c:pt idx="0">
                  <c:v>PAs system of Uganda</c:v>
                </c:pt>
              </c:strCache>
            </c:strRef>
          </c:tx>
          <c:spPr>
            <a:ln w="9525" cap="rnd">
              <a:solidFill>
                <a:srgbClr val="00B050"/>
              </a:solidFill>
              <a:round/>
            </a:ln>
            <a:effectLst/>
          </c:spPr>
          <c:marker>
            <c:symbol val="circle"/>
            <c:size val="5"/>
            <c:spPr>
              <a:solidFill>
                <a:srgbClr val="00B050"/>
              </a:solidFill>
              <a:ln w="9525">
                <a:solidFill>
                  <a:srgbClr val="00B050"/>
                </a:solidFill>
              </a:ln>
              <a:effectLst/>
            </c:spPr>
          </c:marker>
          <c:cat>
            <c:strRef>
              <c:f>'Sheet 1'!$B$26:$L$26</c:f>
              <c:strCache>
                <c:ptCount val="11"/>
                <c:pt idx="0">
                  <c:v>Comprehensiveness of the conservation policy environment</c:v>
                </c:pt>
                <c:pt idx="1">
                  <c:v>Instability of the conservation policy instruments</c:v>
                </c:pt>
                <c:pt idx="2">
                  <c:v>Similarity of conservation policy instruments</c:v>
                </c:pt>
                <c:pt idx="3">
                  <c:v>Inconsistance of conservation policy instruments</c:v>
                </c:pt>
                <c:pt idx="4">
                  <c:v>Longevity of managing institution</c:v>
                </c:pt>
                <c:pt idx="5">
                  <c:v>Stability of managing institution</c:v>
                </c:pt>
                <c:pt idx="6">
                  <c:v>Comprehensiveness of managing institution's mission</c:v>
                </c:pt>
                <c:pt idx="7">
                  <c:v>Focus of managing institution's mission on conservation</c:v>
                </c:pt>
                <c:pt idx="8">
                  <c:v>Relative PAs national coverage</c:v>
                </c:pt>
                <c:pt idx="9">
                  <c:v>Comprehensiveness of PAs categories</c:v>
                </c:pt>
                <c:pt idx="10">
                  <c:v>Trend of establishment of new PAs</c:v>
                </c:pt>
              </c:strCache>
            </c:strRef>
          </c:cat>
          <c:val>
            <c:numRef>
              <c:f>'Sheet 1'!$B$29:$L$29</c:f>
              <c:numCache>
                <c:formatCode>General</c:formatCode>
                <c:ptCount val="11"/>
                <c:pt idx="0">
                  <c:v>0.1</c:v>
                </c:pt>
                <c:pt idx="1">
                  <c:v>0.29143062105052164</c:v>
                </c:pt>
                <c:pt idx="2">
                  <c:v>0.2810499313271661</c:v>
                </c:pt>
                <c:pt idx="3">
                  <c:v>0.42145009344368589</c:v>
                </c:pt>
                <c:pt idx="4">
                  <c:v>0.24802110817941952</c:v>
                </c:pt>
                <c:pt idx="5">
                  <c:v>0.3</c:v>
                </c:pt>
                <c:pt idx="6">
                  <c:v>0.21212121212121213</c:v>
                </c:pt>
                <c:pt idx="7">
                  <c:v>0.33333333333333331</c:v>
                </c:pt>
                <c:pt idx="8">
                  <c:v>0.25870272977711001</c:v>
                </c:pt>
                <c:pt idx="9">
                  <c:v>0.1</c:v>
                </c:pt>
                <c:pt idx="10">
                  <c:v>0.27862407862407867</c:v>
                </c:pt>
              </c:numCache>
            </c:numRef>
          </c:val>
          <c:smooth val="1"/>
          <c:extLst>
            <c:ext xmlns:c16="http://schemas.microsoft.com/office/drawing/2014/chart" uri="{C3380CC4-5D6E-409C-BE32-E72D297353CC}">
              <c16:uniqueId val="{00000002-35B3-4C47-9076-3B1284F9DC3F}"/>
            </c:ext>
          </c:extLst>
        </c:ser>
        <c:ser>
          <c:idx val="3"/>
          <c:order val="3"/>
          <c:tx>
            <c:strRef>
              <c:f>'Sheet 1'!$A$30</c:f>
              <c:strCache>
                <c:ptCount val="1"/>
                <c:pt idx="0">
                  <c:v>PAs system of the USA</c:v>
                </c:pt>
              </c:strCache>
            </c:strRef>
          </c:tx>
          <c:spPr>
            <a:ln w="9525" cap="rnd">
              <a:solidFill>
                <a:srgbClr val="FF0000"/>
              </a:solidFill>
              <a:prstDash val="solid"/>
              <a:round/>
            </a:ln>
            <a:effectLst/>
          </c:spPr>
          <c:marker>
            <c:symbol val="circle"/>
            <c:size val="5"/>
            <c:spPr>
              <a:solidFill>
                <a:srgbClr val="FF0000"/>
              </a:solidFill>
              <a:ln w="9525">
                <a:solidFill>
                  <a:srgbClr val="FF0000"/>
                </a:solidFill>
              </a:ln>
              <a:effectLst/>
            </c:spPr>
          </c:marker>
          <c:cat>
            <c:strRef>
              <c:f>'Sheet 1'!$B$26:$L$26</c:f>
              <c:strCache>
                <c:ptCount val="11"/>
                <c:pt idx="0">
                  <c:v>Comprehensiveness of the conservation policy environment</c:v>
                </c:pt>
                <c:pt idx="1">
                  <c:v>Instability of the conservation policy instruments</c:v>
                </c:pt>
                <c:pt idx="2">
                  <c:v>Similarity of conservation policy instruments</c:v>
                </c:pt>
                <c:pt idx="3">
                  <c:v>Inconsistance of conservation policy instruments</c:v>
                </c:pt>
                <c:pt idx="4">
                  <c:v>Longevity of managing institution</c:v>
                </c:pt>
                <c:pt idx="5">
                  <c:v>Stability of managing institution</c:v>
                </c:pt>
                <c:pt idx="6">
                  <c:v>Comprehensiveness of managing institution's mission</c:v>
                </c:pt>
                <c:pt idx="7">
                  <c:v>Focus of managing institution's mission on conservation</c:v>
                </c:pt>
                <c:pt idx="8">
                  <c:v>Relative PAs national coverage</c:v>
                </c:pt>
                <c:pt idx="9">
                  <c:v>Comprehensiveness of PAs categories</c:v>
                </c:pt>
                <c:pt idx="10">
                  <c:v>Trend of establishment of new PAs</c:v>
                </c:pt>
              </c:strCache>
            </c:strRef>
          </c:cat>
          <c:val>
            <c:numRef>
              <c:f>'Sheet 1'!$B$30:$L$30</c:f>
              <c:numCache>
                <c:formatCode>General</c:formatCode>
                <c:ptCount val="11"/>
                <c:pt idx="0">
                  <c:v>0.66015151515151516</c:v>
                </c:pt>
                <c:pt idx="1">
                  <c:v>1.8102984460550049E-2</c:v>
                </c:pt>
                <c:pt idx="2">
                  <c:v>3.948869623353124E-2</c:v>
                </c:pt>
                <c:pt idx="3">
                  <c:v>4.3632480262405127E-2</c:v>
                </c:pt>
                <c:pt idx="4">
                  <c:v>0.28232189973614774</c:v>
                </c:pt>
                <c:pt idx="5">
                  <c:v>0.5</c:v>
                </c:pt>
                <c:pt idx="6">
                  <c:v>0.36363636363636365</c:v>
                </c:pt>
                <c:pt idx="7">
                  <c:v>0.33333333333333331</c:v>
                </c:pt>
                <c:pt idx="8">
                  <c:v>0.25344352617079891</c:v>
                </c:pt>
                <c:pt idx="9">
                  <c:v>0.67500000000000004</c:v>
                </c:pt>
                <c:pt idx="10">
                  <c:v>0.13759213759213759</c:v>
                </c:pt>
              </c:numCache>
            </c:numRef>
          </c:val>
          <c:smooth val="1"/>
          <c:extLst>
            <c:ext xmlns:c16="http://schemas.microsoft.com/office/drawing/2014/chart" uri="{C3380CC4-5D6E-409C-BE32-E72D297353CC}">
              <c16:uniqueId val="{00000003-35B3-4C47-9076-3B1284F9DC3F}"/>
            </c:ext>
          </c:extLst>
        </c:ser>
        <c:dLbls>
          <c:showLegendKey val="0"/>
          <c:showVal val="0"/>
          <c:showCatName val="0"/>
          <c:showSerName val="0"/>
          <c:showPercent val="0"/>
          <c:showBubbleSize val="0"/>
        </c:dLbls>
        <c:marker val="1"/>
        <c:smooth val="0"/>
        <c:axId val="1553622480"/>
        <c:axId val="1553622896"/>
      </c:lineChart>
      <c:catAx>
        <c:axId val="15536224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en-GB" sz="900" b="1">
                    <a:solidFill>
                      <a:schemeClr val="tx1"/>
                    </a:solidFill>
                    <a:latin typeface="Times New Roman" panose="02020603050405020304" pitchFamily="18" charset="0"/>
                    <a:cs typeface="Times New Roman" panose="02020603050405020304" pitchFamily="18" charset="0"/>
                  </a:rPr>
                  <a:t>Conservation component</a:t>
                </a:r>
              </a:p>
            </c:rich>
          </c:tx>
          <c:layout>
            <c:manualLayout>
              <c:xMode val="edge"/>
              <c:yMode val="edge"/>
              <c:x val="0.38878934172670027"/>
              <c:y val="0.9499999119040529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lumMod val="60000"/>
                <a:lumOff val="40000"/>
              </a:schemeClr>
            </a:solidFill>
            <a:round/>
          </a:ln>
          <a:effectLst>
            <a:outerShdw blurRad="50800" dist="50800" dir="5400000" algn="ctr" rotWithShape="0">
              <a:schemeClr val="bg1"/>
            </a:outerShdw>
          </a:effectLst>
        </c:spPr>
        <c:txPr>
          <a:bodyPr rot="-5400000" spcFirstLastPara="1" vertOverflow="ellipsis" wrap="square" anchor="t" anchorCtr="0"/>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553622896"/>
        <c:crosses val="autoZero"/>
        <c:auto val="1"/>
        <c:lblAlgn val="ctr"/>
        <c:lblOffset val="100"/>
        <c:tickMarkSkip val="1"/>
        <c:noMultiLvlLbl val="0"/>
      </c:catAx>
      <c:valAx>
        <c:axId val="1553622896"/>
        <c:scaling>
          <c:orientation val="minMax"/>
        </c:scaling>
        <c:delete val="0"/>
        <c:axPos val="l"/>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GB" sz="900" b="1">
                    <a:solidFill>
                      <a:schemeClr val="tx1"/>
                    </a:solidFill>
                    <a:latin typeface="Times New Roman" panose="02020603050405020304" pitchFamily="18" charset="0"/>
                    <a:cs typeface="Times New Roman" panose="02020603050405020304" pitchFamily="18" charset="0"/>
                  </a:rPr>
                  <a:t>Index</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accent2">
                <a:lumMod val="60000"/>
                <a:lumOff val="40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553622480"/>
        <c:crossesAt val="1"/>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rgbClr val="008080"/>
      </a:solidFill>
      <a:round/>
    </a:ln>
    <a:effectLst/>
  </c:spPr>
  <c:txPr>
    <a:bodyPr/>
    <a:lstStyle/>
    <a:p>
      <a:pPr>
        <a:defRPr/>
      </a:pPr>
      <a:endParaRPr lang="en-US"/>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3"/>
          <c:order val="3"/>
          <c:tx>
            <c:strRef>
              <c:f>'Institutional framework an.'!$C$7</c:f>
              <c:strCache>
                <c:ptCount val="1"/>
                <c:pt idx="0">
                  <c:v>NPS</c:v>
                </c:pt>
              </c:strCache>
            </c:strRef>
          </c:tx>
          <c:spPr>
            <a:solidFill>
              <a:srgbClr val="7030A0">
                <a:alpha val="70000"/>
              </a:srgbClr>
            </a:solidFill>
            <a:ln w="15875">
              <a:solidFill>
                <a:srgbClr val="7030A0"/>
              </a:solidFill>
            </a:ln>
            <a:effectLst/>
          </c:spPr>
          <c:invertIfNegative val="0"/>
          <c:cat>
            <c:strRef>
              <c:f>'Institutional framework an.'!$L$3:$O$3</c:f>
              <c:strCache>
                <c:ptCount val="4"/>
                <c:pt idx="0">
                  <c:v>Seniority index</c:v>
                </c:pt>
                <c:pt idx="1">
                  <c:v>Stability index</c:v>
                </c:pt>
                <c:pt idx="2">
                  <c:v>Comprehensiveness index</c:v>
                </c:pt>
                <c:pt idx="3">
                  <c:v>Exclusivity index</c:v>
                </c:pt>
              </c:strCache>
            </c:strRef>
          </c:cat>
          <c:val>
            <c:numRef>
              <c:f>'Institutional framework an.'!$L$7:$O$7</c:f>
              <c:numCache>
                <c:formatCode>0.00</c:formatCode>
                <c:ptCount val="4"/>
                <c:pt idx="0">
                  <c:v>0.28232189973614774</c:v>
                </c:pt>
                <c:pt idx="1">
                  <c:v>0.5</c:v>
                </c:pt>
                <c:pt idx="2">
                  <c:v>0.36363636363636365</c:v>
                </c:pt>
                <c:pt idx="3">
                  <c:v>0.33333333333333331</c:v>
                </c:pt>
              </c:numCache>
            </c:numRef>
          </c:val>
          <c:extLst>
            <c:ext xmlns:c16="http://schemas.microsoft.com/office/drawing/2014/chart" uri="{C3380CC4-5D6E-409C-BE32-E72D297353CC}">
              <c16:uniqueId val="{00000000-BF83-4BFC-98D3-8011790F879F}"/>
            </c:ext>
          </c:extLst>
        </c:ser>
        <c:ser>
          <c:idx val="0"/>
          <c:order val="0"/>
          <c:tx>
            <c:strRef>
              <c:f>'Institutional framework an.'!$C$4</c:f>
              <c:strCache>
                <c:ptCount val="1"/>
                <c:pt idx="0">
                  <c:v>ICCN</c:v>
                </c:pt>
              </c:strCache>
            </c:strRef>
          </c:tx>
          <c:spPr>
            <a:solidFill>
              <a:srgbClr val="00B0F0">
                <a:alpha val="70000"/>
              </a:srgbClr>
            </a:solidFill>
            <a:ln w="15875">
              <a:solidFill>
                <a:srgbClr val="00B0F0"/>
              </a:solidFill>
            </a:ln>
            <a:effectLst/>
          </c:spPr>
          <c:invertIfNegative val="0"/>
          <c:cat>
            <c:strRef>
              <c:f>'Institutional framework an.'!$L$3:$O$3</c:f>
              <c:strCache>
                <c:ptCount val="4"/>
                <c:pt idx="0">
                  <c:v>Seniority index</c:v>
                </c:pt>
                <c:pt idx="1">
                  <c:v>Stability index</c:v>
                </c:pt>
                <c:pt idx="2">
                  <c:v>Comprehensiveness index</c:v>
                </c:pt>
                <c:pt idx="3">
                  <c:v>Exclusivity index</c:v>
                </c:pt>
              </c:strCache>
            </c:strRef>
          </c:cat>
          <c:val>
            <c:numRef>
              <c:f>'Institutional framework an.'!$L$4:$O$4</c:f>
              <c:numCache>
                <c:formatCode>0.00</c:formatCode>
                <c:ptCount val="4"/>
                <c:pt idx="0">
                  <c:v>0.23482849604221637</c:v>
                </c:pt>
                <c:pt idx="1">
                  <c:v>0</c:v>
                </c:pt>
                <c:pt idx="2">
                  <c:v>0.21212121212121213</c:v>
                </c:pt>
                <c:pt idx="3">
                  <c:v>0.33333333333333331</c:v>
                </c:pt>
              </c:numCache>
            </c:numRef>
          </c:val>
          <c:extLst>
            <c:ext xmlns:c16="http://schemas.microsoft.com/office/drawing/2014/chart" uri="{C3380CC4-5D6E-409C-BE32-E72D297353CC}">
              <c16:uniqueId val="{00000001-BF83-4BFC-98D3-8011790F879F}"/>
            </c:ext>
          </c:extLst>
        </c:ser>
        <c:ser>
          <c:idx val="1"/>
          <c:order val="1"/>
          <c:tx>
            <c:strRef>
              <c:f>'Institutional framework an.'!$C$5</c:f>
              <c:strCache>
                <c:ptCount val="1"/>
                <c:pt idx="0">
                  <c:v>RDB</c:v>
                </c:pt>
              </c:strCache>
            </c:strRef>
          </c:tx>
          <c:spPr>
            <a:solidFill>
              <a:srgbClr val="F16627">
                <a:alpha val="70000"/>
              </a:srgbClr>
            </a:solidFill>
            <a:ln w="15875">
              <a:solidFill>
                <a:srgbClr val="F16627"/>
              </a:solidFill>
            </a:ln>
            <a:effectLst/>
          </c:spPr>
          <c:invertIfNegative val="0"/>
          <c:cat>
            <c:strRef>
              <c:f>'Institutional framework an.'!$L$3:$O$3</c:f>
              <c:strCache>
                <c:ptCount val="4"/>
                <c:pt idx="0">
                  <c:v>Seniority index</c:v>
                </c:pt>
                <c:pt idx="1">
                  <c:v>Stability index</c:v>
                </c:pt>
                <c:pt idx="2">
                  <c:v>Comprehensiveness index</c:v>
                </c:pt>
                <c:pt idx="3">
                  <c:v>Exclusivity index</c:v>
                </c:pt>
              </c:strCache>
            </c:strRef>
          </c:cat>
          <c:val>
            <c:numRef>
              <c:f>'Institutional framework an.'!$L$5:$O$5</c:f>
              <c:numCache>
                <c:formatCode>0.00</c:formatCode>
                <c:ptCount val="4"/>
                <c:pt idx="0">
                  <c:v>0.23482849604221637</c:v>
                </c:pt>
                <c:pt idx="1">
                  <c:v>0.2</c:v>
                </c:pt>
                <c:pt idx="2">
                  <c:v>0.21212121212121213</c:v>
                </c:pt>
                <c:pt idx="3">
                  <c:v>0</c:v>
                </c:pt>
              </c:numCache>
            </c:numRef>
          </c:val>
          <c:extLst>
            <c:ext xmlns:c16="http://schemas.microsoft.com/office/drawing/2014/chart" uri="{C3380CC4-5D6E-409C-BE32-E72D297353CC}">
              <c16:uniqueId val="{00000002-BF83-4BFC-98D3-8011790F879F}"/>
            </c:ext>
          </c:extLst>
        </c:ser>
        <c:ser>
          <c:idx val="2"/>
          <c:order val="2"/>
          <c:tx>
            <c:strRef>
              <c:f>'Institutional framework an.'!$C$6</c:f>
              <c:strCache>
                <c:ptCount val="1"/>
                <c:pt idx="0">
                  <c:v>UWA</c:v>
                </c:pt>
              </c:strCache>
            </c:strRef>
          </c:tx>
          <c:spPr>
            <a:solidFill>
              <a:srgbClr val="00B050">
                <a:alpha val="70000"/>
              </a:srgbClr>
            </a:solidFill>
            <a:ln w="15875">
              <a:solidFill>
                <a:srgbClr val="00B050"/>
              </a:solidFill>
            </a:ln>
            <a:effectLst/>
          </c:spPr>
          <c:invertIfNegative val="0"/>
          <c:cat>
            <c:strRef>
              <c:f>'Institutional framework an.'!$L$3:$O$3</c:f>
              <c:strCache>
                <c:ptCount val="4"/>
                <c:pt idx="0">
                  <c:v>Seniority index</c:v>
                </c:pt>
                <c:pt idx="1">
                  <c:v>Stability index</c:v>
                </c:pt>
                <c:pt idx="2">
                  <c:v>Comprehensiveness index</c:v>
                </c:pt>
                <c:pt idx="3">
                  <c:v>Exclusivity index</c:v>
                </c:pt>
              </c:strCache>
            </c:strRef>
          </c:cat>
          <c:val>
            <c:numRef>
              <c:f>'Institutional framework an.'!$L$6:$O$6</c:f>
              <c:numCache>
                <c:formatCode>0.00</c:formatCode>
                <c:ptCount val="4"/>
                <c:pt idx="0">
                  <c:v>0.24802110817941952</c:v>
                </c:pt>
                <c:pt idx="1">
                  <c:v>0.3</c:v>
                </c:pt>
                <c:pt idx="2">
                  <c:v>0.21212121212121213</c:v>
                </c:pt>
                <c:pt idx="3">
                  <c:v>0.33333333333333331</c:v>
                </c:pt>
              </c:numCache>
            </c:numRef>
          </c:val>
          <c:extLst>
            <c:ext xmlns:c16="http://schemas.microsoft.com/office/drawing/2014/chart" uri="{C3380CC4-5D6E-409C-BE32-E72D297353CC}">
              <c16:uniqueId val="{00000003-BF83-4BFC-98D3-8011790F879F}"/>
            </c:ext>
          </c:extLst>
        </c:ser>
        <c:dLbls>
          <c:showLegendKey val="0"/>
          <c:showVal val="0"/>
          <c:showCatName val="0"/>
          <c:showSerName val="0"/>
          <c:showPercent val="0"/>
          <c:showBubbleSize val="0"/>
        </c:dLbls>
        <c:gapWidth val="219"/>
        <c:overlap val="100"/>
        <c:axId val="2003277647"/>
        <c:axId val="2003278607"/>
      </c:barChart>
      <c:catAx>
        <c:axId val="200327764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crossAx val="2003278607"/>
        <c:crosses val="autoZero"/>
        <c:auto val="1"/>
        <c:lblAlgn val="ctr"/>
        <c:lblOffset val="100"/>
        <c:noMultiLvlLbl val="0"/>
      </c:catAx>
      <c:valAx>
        <c:axId val="2003278607"/>
        <c:scaling>
          <c:orientation val="minMax"/>
        </c:scaling>
        <c:delete val="0"/>
        <c:axPos val="b"/>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crossAx val="20032776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rgbClr val="F709C4"/>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sz="1200" b="1">
                <a:solidFill>
                  <a:schemeClr val="tx1">
                    <a:lumMod val="95000"/>
                    <a:lumOff val="5000"/>
                  </a:schemeClr>
                </a:solidFill>
                <a:latin typeface="Times New Roman" panose="02020603050405020304" pitchFamily="18" charset="0"/>
                <a:cs typeface="Times New Roman" panose="02020603050405020304" pitchFamily="18" charset="0"/>
              </a:rPr>
              <a:t>DRC,</a:t>
            </a:r>
            <a:r>
              <a:rPr lang="en-US" sz="1200" b="1" baseline="0">
                <a:solidFill>
                  <a:schemeClr val="tx1">
                    <a:lumMod val="95000"/>
                    <a:lumOff val="5000"/>
                  </a:schemeClr>
                </a:solidFill>
                <a:latin typeface="Times New Roman" panose="02020603050405020304" pitchFamily="18" charset="0"/>
                <a:cs typeface="Times New Roman" panose="02020603050405020304" pitchFamily="18" charset="0"/>
              </a:rPr>
              <a:t> Rwanda, and Uganda PAs average size</a:t>
            </a:r>
            <a:endParaRPr lang="en-US" sz="1200" b="1">
              <a:solidFill>
                <a:schemeClr val="tx1">
                  <a:lumMod val="95000"/>
                  <a:lumOff val="5000"/>
                </a:schemeClr>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barChart>
        <c:barDir val="bar"/>
        <c:grouping val="clustered"/>
        <c:varyColors val="0"/>
        <c:ser>
          <c:idx val="0"/>
          <c:order val="0"/>
          <c:tx>
            <c:strRef>
              <c:f>'Graph-Area DRC, Rwanda, Uganda'!$E$1</c:f>
              <c:strCache>
                <c:ptCount val="1"/>
                <c:pt idx="0">
                  <c:v>Average</c:v>
                </c:pt>
              </c:strCache>
            </c:strRef>
          </c:tx>
          <c:spPr>
            <a:solidFill>
              <a:srgbClr val="FF0000"/>
            </a:solidFill>
            <a:ln w="19050" cap="flat" cmpd="sng" algn="ctr">
              <a:solidFill>
                <a:srgbClr val="C00000"/>
              </a:solidFill>
              <a:round/>
            </a:ln>
            <a:effectLst/>
          </c:spPr>
          <c:invertIfNegative val="0"/>
          <c:dPt>
            <c:idx val="0"/>
            <c:invertIfNegative val="0"/>
            <c:bubble3D val="0"/>
            <c:spPr>
              <a:solidFill>
                <a:srgbClr val="FF0000">
                  <a:alpha val="70000"/>
                </a:srgbClr>
              </a:solidFill>
              <a:ln w="19050" cap="flat" cmpd="sng" algn="ctr">
                <a:solidFill>
                  <a:srgbClr val="C00000"/>
                </a:solidFill>
                <a:round/>
              </a:ln>
              <a:effectLst/>
            </c:spPr>
            <c:extLst>
              <c:ext xmlns:c16="http://schemas.microsoft.com/office/drawing/2014/chart" uri="{C3380CC4-5D6E-409C-BE32-E72D297353CC}">
                <c16:uniqueId val="{00000001-CB70-4E07-A7D6-EAC56F4674A3}"/>
              </c:ext>
            </c:extLst>
          </c:dPt>
          <c:dPt>
            <c:idx val="1"/>
            <c:invertIfNegative val="0"/>
            <c:bubble3D val="0"/>
            <c:spPr>
              <a:solidFill>
                <a:srgbClr val="FF0000">
                  <a:alpha val="70000"/>
                </a:srgbClr>
              </a:solidFill>
              <a:ln w="19050" cap="flat" cmpd="sng" algn="ctr">
                <a:solidFill>
                  <a:srgbClr val="C00000"/>
                </a:solidFill>
                <a:round/>
              </a:ln>
              <a:effectLst/>
            </c:spPr>
            <c:extLst>
              <c:ext xmlns:c16="http://schemas.microsoft.com/office/drawing/2014/chart" uri="{C3380CC4-5D6E-409C-BE32-E72D297353CC}">
                <c16:uniqueId val="{00000003-CB70-4E07-A7D6-EAC56F4674A3}"/>
              </c:ext>
            </c:extLst>
          </c:dPt>
          <c:dPt>
            <c:idx val="2"/>
            <c:invertIfNegative val="0"/>
            <c:bubble3D val="0"/>
            <c:spPr>
              <a:solidFill>
                <a:srgbClr val="FF0000">
                  <a:alpha val="70000"/>
                </a:srgbClr>
              </a:solidFill>
              <a:ln w="19050" cap="flat" cmpd="sng" algn="ctr">
                <a:solidFill>
                  <a:srgbClr val="C00000"/>
                </a:solidFill>
                <a:round/>
              </a:ln>
              <a:effectLst/>
            </c:spPr>
            <c:extLst>
              <c:ext xmlns:c16="http://schemas.microsoft.com/office/drawing/2014/chart" uri="{C3380CC4-5D6E-409C-BE32-E72D297353CC}">
                <c16:uniqueId val="{00000005-CB70-4E07-A7D6-EAC56F4674A3}"/>
              </c:ext>
            </c:extLst>
          </c:dPt>
          <c:dPt>
            <c:idx val="3"/>
            <c:invertIfNegative val="0"/>
            <c:bubble3D val="0"/>
            <c:spPr>
              <a:solidFill>
                <a:srgbClr val="FF0000">
                  <a:alpha val="70000"/>
                </a:srgbClr>
              </a:solidFill>
              <a:ln w="19050" cap="flat" cmpd="sng" algn="ctr">
                <a:solidFill>
                  <a:srgbClr val="C00000"/>
                </a:solidFill>
                <a:round/>
              </a:ln>
              <a:effectLst/>
            </c:spPr>
            <c:extLst>
              <c:ext xmlns:c16="http://schemas.microsoft.com/office/drawing/2014/chart" uri="{C3380CC4-5D6E-409C-BE32-E72D297353CC}">
                <c16:uniqueId val="{00000007-CB70-4E07-A7D6-EAC56F4674A3}"/>
              </c:ext>
            </c:extLst>
          </c:dPt>
          <c:dPt>
            <c:idx val="4"/>
            <c:invertIfNegative val="0"/>
            <c:bubble3D val="0"/>
            <c:spPr>
              <a:solidFill>
                <a:srgbClr val="FF0000">
                  <a:alpha val="70000"/>
                </a:srgbClr>
              </a:solidFill>
              <a:ln w="19050" cap="flat" cmpd="sng" algn="ctr">
                <a:solidFill>
                  <a:srgbClr val="C00000"/>
                </a:solidFill>
                <a:round/>
              </a:ln>
              <a:effectLst/>
            </c:spPr>
            <c:extLst>
              <c:ext xmlns:c16="http://schemas.microsoft.com/office/drawing/2014/chart" uri="{C3380CC4-5D6E-409C-BE32-E72D297353CC}">
                <c16:uniqueId val="{00000009-CB70-4E07-A7D6-EAC56F4674A3}"/>
              </c:ext>
            </c:extLst>
          </c:dPt>
          <c:dPt>
            <c:idx val="5"/>
            <c:invertIfNegative val="0"/>
            <c:bubble3D val="0"/>
            <c:spPr>
              <a:solidFill>
                <a:srgbClr val="FF0000">
                  <a:alpha val="70000"/>
                </a:srgbClr>
              </a:solidFill>
              <a:ln w="19050" cap="flat" cmpd="sng" algn="ctr">
                <a:solidFill>
                  <a:srgbClr val="C00000"/>
                </a:solidFill>
                <a:round/>
              </a:ln>
              <a:effectLst/>
            </c:spPr>
            <c:extLst>
              <c:ext xmlns:c16="http://schemas.microsoft.com/office/drawing/2014/chart" uri="{C3380CC4-5D6E-409C-BE32-E72D297353CC}">
                <c16:uniqueId val="{0000000B-CB70-4E07-A7D6-EAC56F4674A3}"/>
              </c:ext>
            </c:extLst>
          </c:dPt>
          <c:dPt>
            <c:idx val="6"/>
            <c:invertIfNegative val="0"/>
            <c:bubble3D val="0"/>
            <c:spPr>
              <a:solidFill>
                <a:srgbClr val="FF0000">
                  <a:alpha val="70000"/>
                </a:srgbClr>
              </a:solidFill>
              <a:ln w="19050" cap="flat" cmpd="sng" algn="ctr">
                <a:solidFill>
                  <a:srgbClr val="C00000"/>
                </a:solidFill>
                <a:round/>
              </a:ln>
              <a:effectLst/>
            </c:spPr>
            <c:extLst>
              <c:ext xmlns:c16="http://schemas.microsoft.com/office/drawing/2014/chart" uri="{C3380CC4-5D6E-409C-BE32-E72D297353CC}">
                <c16:uniqueId val="{0000000D-CB70-4E07-A7D6-EAC56F4674A3}"/>
              </c:ext>
            </c:extLst>
          </c:dPt>
          <c:dPt>
            <c:idx val="8"/>
            <c:invertIfNegative val="0"/>
            <c:bubble3D val="0"/>
            <c:spPr>
              <a:solidFill>
                <a:srgbClr val="00B0F0">
                  <a:alpha val="70000"/>
                </a:srgbClr>
              </a:solidFill>
              <a:ln w="19050" cap="flat" cmpd="sng" algn="ctr">
                <a:solidFill>
                  <a:srgbClr val="0070C0"/>
                </a:solidFill>
                <a:round/>
              </a:ln>
              <a:effectLst/>
            </c:spPr>
            <c:extLst>
              <c:ext xmlns:c16="http://schemas.microsoft.com/office/drawing/2014/chart" uri="{C3380CC4-5D6E-409C-BE32-E72D297353CC}">
                <c16:uniqueId val="{0000000F-CB70-4E07-A7D6-EAC56F4674A3}"/>
              </c:ext>
            </c:extLst>
          </c:dPt>
          <c:dPt>
            <c:idx val="9"/>
            <c:invertIfNegative val="0"/>
            <c:bubble3D val="0"/>
            <c:spPr>
              <a:solidFill>
                <a:srgbClr val="00B0F0">
                  <a:alpha val="70000"/>
                </a:srgbClr>
              </a:solidFill>
              <a:ln w="19050" cap="flat" cmpd="sng" algn="ctr">
                <a:solidFill>
                  <a:srgbClr val="0070C0"/>
                </a:solidFill>
                <a:round/>
              </a:ln>
              <a:effectLst/>
            </c:spPr>
            <c:extLst>
              <c:ext xmlns:c16="http://schemas.microsoft.com/office/drawing/2014/chart" uri="{C3380CC4-5D6E-409C-BE32-E72D297353CC}">
                <c16:uniqueId val="{00000011-CB70-4E07-A7D6-EAC56F4674A3}"/>
              </c:ext>
            </c:extLst>
          </c:dPt>
          <c:dPt>
            <c:idx val="11"/>
            <c:invertIfNegative val="0"/>
            <c:bubble3D val="0"/>
            <c:spPr>
              <a:solidFill>
                <a:srgbClr val="00B050">
                  <a:alpha val="70000"/>
                </a:srgbClr>
              </a:solidFill>
              <a:ln w="19050" cap="flat" cmpd="sng" algn="ctr">
                <a:solidFill>
                  <a:srgbClr val="006600"/>
                </a:solidFill>
                <a:round/>
              </a:ln>
              <a:effectLst/>
            </c:spPr>
            <c:extLst>
              <c:ext xmlns:c16="http://schemas.microsoft.com/office/drawing/2014/chart" uri="{C3380CC4-5D6E-409C-BE32-E72D297353CC}">
                <c16:uniqueId val="{00000013-CB70-4E07-A7D6-EAC56F4674A3}"/>
              </c:ext>
            </c:extLst>
          </c:dPt>
          <c:dPt>
            <c:idx val="12"/>
            <c:invertIfNegative val="0"/>
            <c:bubble3D val="0"/>
            <c:spPr>
              <a:solidFill>
                <a:srgbClr val="00B050">
                  <a:alpha val="70000"/>
                </a:srgbClr>
              </a:solidFill>
              <a:ln w="19050" cap="flat" cmpd="sng" algn="ctr">
                <a:solidFill>
                  <a:srgbClr val="006600"/>
                </a:solidFill>
                <a:round/>
              </a:ln>
              <a:effectLst/>
            </c:spPr>
            <c:extLst>
              <c:ext xmlns:c16="http://schemas.microsoft.com/office/drawing/2014/chart" uri="{C3380CC4-5D6E-409C-BE32-E72D297353CC}">
                <c16:uniqueId val="{00000015-CB70-4E07-A7D6-EAC56F4674A3}"/>
              </c:ext>
            </c:extLst>
          </c:dPt>
          <c:dPt>
            <c:idx val="13"/>
            <c:invertIfNegative val="0"/>
            <c:bubble3D val="0"/>
            <c:spPr>
              <a:solidFill>
                <a:srgbClr val="00B050">
                  <a:alpha val="70000"/>
                </a:srgbClr>
              </a:solidFill>
              <a:ln w="19050" cap="flat" cmpd="sng" algn="ctr">
                <a:solidFill>
                  <a:srgbClr val="006600"/>
                </a:solidFill>
                <a:round/>
              </a:ln>
              <a:effectLst/>
            </c:spPr>
            <c:extLst>
              <c:ext xmlns:c16="http://schemas.microsoft.com/office/drawing/2014/chart" uri="{C3380CC4-5D6E-409C-BE32-E72D297353CC}">
                <c16:uniqueId val="{00000017-CB70-4E07-A7D6-EAC56F4674A3}"/>
              </c:ext>
            </c:extLst>
          </c:dPt>
          <c:dPt>
            <c:idx val="14"/>
            <c:invertIfNegative val="0"/>
            <c:bubble3D val="0"/>
            <c:spPr>
              <a:solidFill>
                <a:srgbClr val="00B050">
                  <a:alpha val="70000"/>
                </a:srgbClr>
              </a:solidFill>
              <a:ln w="19050" cap="flat" cmpd="sng" algn="ctr">
                <a:solidFill>
                  <a:srgbClr val="006600"/>
                </a:solidFill>
                <a:round/>
              </a:ln>
              <a:effectLst/>
            </c:spPr>
            <c:extLst>
              <c:ext xmlns:c16="http://schemas.microsoft.com/office/drawing/2014/chart" uri="{C3380CC4-5D6E-409C-BE32-E72D297353CC}">
                <c16:uniqueId val="{00000019-CB70-4E07-A7D6-EAC56F4674A3}"/>
              </c:ext>
            </c:extLst>
          </c:dPt>
          <c:errBars>
            <c:errBarType val="plus"/>
            <c:errValType val="cust"/>
            <c:noEndCap val="0"/>
            <c:plus>
              <c:numRef>
                <c:f>'Graph-Area DRC, Rwanda, Uganda'!$G$2:$G$16</c:f>
                <c:numCache>
                  <c:formatCode>General</c:formatCode>
                  <c:ptCount val="15"/>
                  <c:pt idx="0">
                    <c:v>4893.5592619278659</c:v>
                  </c:pt>
                  <c:pt idx="1">
                    <c:v>1008.4126139631535</c:v>
                  </c:pt>
                  <c:pt idx="2">
                    <c:v>5165.4150365677297</c:v>
                  </c:pt>
                  <c:pt idx="3">
                    <c:v>8345.7470946693447</c:v>
                  </c:pt>
                  <c:pt idx="6">
                    <c:v>8785.6924219627308</c:v>
                  </c:pt>
                  <c:pt idx="8">
                    <c:v>566.60530068705384</c:v>
                  </c:pt>
                  <c:pt idx="11">
                    <c:v>1145.8571949030609</c:v>
                  </c:pt>
                  <c:pt idx="12">
                    <c:v>779.44950951218641</c:v>
                  </c:pt>
                  <c:pt idx="13">
                    <c:v>813.62724880623318</c:v>
                  </c:pt>
                  <c:pt idx="14">
                    <c:v>136.936055251266</c:v>
                  </c:pt>
                </c:numCache>
              </c:numRef>
            </c:plus>
            <c:minus>
              <c:numLit>
                <c:formatCode>General</c:formatCode>
                <c:ptCount val="1"/>
                <c:pt idx="0">
                  <c:v>1</c:v>
                </c:pt>
              </c:numLit>
            </c:minus>
            <c:spPr>
              <a:noFill/>
              <a:ln w="22225">
                <a:solidFill>
                  <a:srgbClr val="FF99FF"/>
                </a:solidFill>
              </a:ln>
              <a:effectLst>
                <a:glow>
                  <a:schemeClr val="accent1">
                    <a:alpha val="40000"/>
                  </a:schemeClr>
                </a:glow>
              </a:effectLst>
            </c:spPr>
          </c:errBars>
          <c:cat>
            <c:strRef>
              <c:f>'Graph-Area DRC, Rwanda, Uganda'!$B$2:$B$16</c:f>
              <c:strCache>
                <c:ptCount val="15"/>
                <c:pt idx="0">
                  <c:v>National Park</c:v>
                </c:pt>
                <c:pt idx="1">
                  <c:v>Biosphere Reserve</c:v>
                </c:pt>
                <c:pt idx="2">
                  <c:v>Wildlife Reserve</c:v>
                </c:pt>
                <c:pt idx="3">
                  <c:v>Nature Reserve</c:v>
                </c:pt>
                <c:pt idx="4">
                  <c:v>Scientific Reserve</c:v>
                </c:pt>
                <c:pt idx="5">
                  <c:v>Community Reserve</c:v>
                </c:pt>
                <c:pt idx="6">
                  <c:v>Hunting Reserve</c:v>
                </c:pt>
                <c:pt idx="8">
                  <c:v>National Park</c:v>
                </c:pt>
                <c:pt idx="9">
                  <c:v>Protected Marshland</c:v>
                </c:pt>
                <c:pt idx="11">
                  <c:v>National Park</c:v>
                </c:pt>
                <c:pt idx="12">
                  <c:v>Wildlife Reserve</c:v>
                </c:pt>
                <c:pt idx="13">
                  <c:v>Community Wildlife Management Area</c:v>
                </c:pt>
                <c:pt idx="14">
                  <c:v>Wildlife Sanctuary</c:v>
                </c:pt>
              </c:strCache>
            </c:strRef>
          </c:cat>
          <c:val>
            <c:numRef>
              <c:f>'Graph-Area DRC, Rwanda, Uganda'!$E$2:$E$16</c:f>
              <c:numCache>
                <c:formatCode>0.00</c:formatCode>
                <c:ptCount val="15"/>
                <c:pt idx="0">
                  <c:v>9078</c:v>
                </c:pt>
                <c:pt idx="1">
                  <c:v>1071</c:v>
                </c:pt>
                <c:pt idx="2">
                  <c:v>10194.5</c:v>
                </c:pt>
                <c:pt idx="3">
                  <c:v>5338.25</c:v>
                </c:pt>
                <c:pt idx="4">
                  <c:v>480</c:v>
                </c:pt>
                <c:pt idx="5">
                  <c:v>1030</c:v>
                </c:pt>
                <c:pt idx="6">
                  <c:v>6024.333333333333</c:v>
                </c:pt>
                <c:pt idx="8">
                  <c:v>583.25</c:v>
                </c:pt>
                <c:pt idx="9">
                  <c:v>67.36</c:v>
                </c:pt>
                <c:pt idx="11">
                  <c:v>1123.4000000000001</c:v>
                </c:pt>
                <c:pt idx="12">
                  <c:v>717.91666666666663</c:v>
                </c:pt>
                <c:pt idx="13">
                  <c:v>847.6</c:v>
                </c:pt>
                <c:pt idx="14">
                  <c:v>90.914444444444442</c:v>
                </c:pt>
              </c:numCache>
            </c:numRef>
          </c:val>
          <c:extLst>
            <c:ext xmlns:c16="http://schemas.microsoft.com/office/drawing/2014/chart" uri="{C3380CC4-5D6E-409C-BE32-E72D297353CC}">
              <c16:uniqueId val="{0000001A-CB70-4E07-A7D6-EAC56F4674A3}"/>
            </c:ext>
          </c:extLst>
        </c:ser>
        <c:dLbls>
          <c:showLegendKey val="0"/>
          <c:showVal val="0"/>
          <c:showCatName val="0"/>
          <c:showSerName val="0"/>
          <c:showPercent val="0"/>
          <c:showBubbleSize val="0"/>
        </c:dLbls>
        <c:gapWidth val="30"/>
        <c:overlap val="49"/>
        <c:axId val="368169519"/>
        <c:axId val="368171599"/>
      </c:barChart>
      <c:catAx>
        <c:axId val="368169519"/>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50000"/>
                        <a:lumOff val="50000"/>
                      </a:schemeClr>
                    </a:solidFill>
                    <a:latin typeface="+mn-lt"/>
                    <a:ea typeface="+mn-ea"/>
                    <a:cs typeface="+mn-cs"/>
                  </a:defRPr>
                </a:pPr>
                <a:r>
                  <a:rPr lang="en-GB" sz="900" b="1" cap="none" baseline="0">
                    <a:solidFill>
                      <a:schemeClr val="tx1">
                        <a:lumMod val="95000"/>
                        <a:lumOff val="5000"/>
                      </a:schemeClr>
                    </a:solidFill>
                    <a:latin typeface="Times New Roman" panose="02020603050405020304" pitchFamily="18" charset="0"/>
                    <a:cs typeface="Times New Roman" panose="02020603050405020304" pitchFamily="18" charset="0"/>
                  </a:rPr>
                  <a:t>Type of PA</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50000"/>
                      <a:lumOff val="50000"/>
                    </a:schemeClr>
                  </a:solidFill>
                  <a:latin typeface="+mn-lt"/>
                  <a:ea typeface="+mn-ea"/>
                  <a:cs typeface="+mn-cs"/>
                </a:defRPr>
              </a:pPr>
              <a:endParaRPr lang="en-US"/>
            </a:p>
          </c:txPr>
        </c:title>
        <c:numFmt formatCode="General" sourceLinked="1"/>
        <c:majorTickMark val="none"/>
        <c:minorTickMark val="none"/>
        <c:tickLblPos val="nextTo"/>
        <c:spPr>
          <a:noFill/>
          <a:ln w="25400" cap="flat" cmpd="sng" algn="ctr">
            <a:solidFill>
              <a:schemeClr val="bg1">
                <a:lumMod val="6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crossAx val="368171599"/>
        <c:crosses val="autoZero"/>
        <c:auto val="1"/>
        <c:lblAlgn val="ctr"/>
        <c:lblOffset val="100"/>
        <c:noMultiLvlLbl val="0"/>
      </c:catAx>
      <c:valAx>
        <c:axId val="368171599"/>
        <c:scaling>
          <c:orientation val="minMax"/>
          <c:max val="16000"/>
        </c:scaling>
        <c:delete val="0"/>
        <c:axPos val="b"/>
        <c:title>
          <c:tx>
            <c:rich>
              <a:bodyPr rot="0" spcFirstLastPara="1" vertOverflow="ellipsis" vert="horz" wrap="square" anchor="ctr" anchorCtr="1"/>
              <a:lstStyle/>
              <a:p>
                <a:pPr>
                  <a:defRPr sz="900" b="0" i="0" u="none" strike="noStrike" kern="1200" cap="all" baseline="0">
                    <a:solidFill>
                      <a:schemeClr val="tx1">
                        <a:lumMod val="50000"/>
                        <a:lumOff val="50000"/>
                      </a:schemeClr>
                    </a:solidFill>
                    <a:latin typeface="+mn-lt"/>
                    <a:ea typeface="+mn-ea"/>
                    <a:cs typeface="+mn-cs"/>
                  </a:defRPr>
                </a:pPr>
                <a:r>
                  <a:rPr lang="en-GB" b="1" cap="none" baseline="0">
                    <a:solidFill>
                      <a:schemeClr val="tx1">
                        <a:lumMod val="95000"/>
                        <a:lumOff val="5000"/>
                      </a:schemeClr>
                    </a:solidFill>
                    <a:latin typeface="Times New Roman" panose="02020603050405020304" pitchFamily="18" charset="0"/>
                    <a:cs typeface="Times New Roman" panose="02020603050405020304" pitchFamily="18" charset="0"/>
                  </a:rPr>
                  <a:t>Average size [Sq km</a:t>
                </a:r>
                <a:r>
                  <a:rPr lang="en-GB" b="1">
                    <a:solidFill>
                      <a:schemeClr val="tx1">
                        <a:lumMod val="95000"/>
                        <a:lumOff val="5000"/>
                      </a:schemeClr>
                    </a:solidFill>
                    <a:latin typeface="Times New Roman" panose="02020603050405020304" pitchFamily="18" charset="0"/>
                    <a:cs typeface="Times New Roman" panose="02020603050405020304" pitchFamily="18" charset="0"/>
                  </a:rPr>
                  <a:t>]</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50000"/>
                      <a:lumOff val="50000"/>
                    </a:schemeClr>
                  </a:solidFill>
                  <a:latin typeface="+mn-lt"/>
                  <a:ea typeface="+mn-ea"/>
                  <a:cs typeface="+mn-cs"/>
                </a:defRPr>
              </a:pPr>
              <a:endParaRPr lang="en-US"/>
            </a:p>
          </c:txPr>
        </c:title>
        <c:numFmt formatCode="#,##0" sourceLinked="0"/>
        <c:majorTickMark val="out"/>
        <c:minorTickMark val="none"/>
        <c:tickLblPos val="nextTo"/>
        <c:spPr>
          <a:noFill/>
          <a:ln w="25400">
            <a:solidFill>
              <a:schemeClr val="bg1">
                <a:lumMod val="65000"/>
              </a:schemeClr>
            </a:solidFill>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crossAx val="36816951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r>
              <a:rPr lang="en-GB" sz="900" b="1">
                <a:solidFill>
                  <a:schemeClr val="tx1">
                    <a:lumMod val="95000"/>
                    <a:lumOff val="5000"/>
                  </a:schemeClr>
                </a:solidFill>
              </a:rPr>
              <a:t>DRC</a:t>
            </a:r>
          </a:p>
        </c:rich>
      </c:tx>
      <c:layout>
        <c:manualLayout>
          <c:xMode val="edge"/>
          <c:yMode val="edge"/>
          <c:x val="0.91799201243571293"/>
          <c:y val="1.05820127863210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'Graph-Date DRC, Rwanda, Uganda'!$B$2</c:f>
              <c:strCache>
                <c:ptCount val="1"/>
                <c:pt idx="0">
                  <c:v>National Park</c:v>
                </c:pt>
              </c:strCache>
            </c:strRef>
          </c:tx>
          <c:spPr>
            <a:ln w="12700" cap="rnd">
              <a:solidFill>
                <a:schemeClr val="tx1">
                  <a:lumMod val="95000"/>
                  <a:lumOff val="5000"/>
                </a:schemeClr>
              </a:solidFill>
              <a:round/>
            </a:ln>
            <a:effectLst/>
          </c:spPr>
          <c:marker>
            <c:symbol val="none"/>
          </c:marker>
          <c:cat>
            <c:strRef>
              <c:f>'Graph-Date DRC, Rwanda, Uganda'!$C$1:$H$1</c:f>
              <c:strCache>
                <c:ptCount val="6"/>
                <c:pt idx="0">
                  <c:v>1872-1900</c:v>
                </c:pt>
                <c:pt idx="1">
                  <c:v>1901-1925</c:v>
                </c:pt>
                <c:pt idx="2">
                  <c:v>1926-1950</c:v>
                </c:pt>
                <c:pt idx="3">
                  <c:v>1951-1975</c:v>
                </c:pt>
                <c:pt idx="4">
                  <c:v>1976-2000</c:v>
                </c:pt>
                <c:pt idx="5">
                  <c:v>2001-2022</c:v>
                </c:pt>
              </c:strCache>
            </c:strRef>
          </c:cat>
          <c:val>
            <c:numRef>
              <c:f>'Graph-Date DRC, Rwanda, Uganda'!$C$2:$H$2</c:f>
              <c:numCache>
                <c:formatCode>General</c:formatCode>
                <c:ptCount val="6"/>
                <c:pt idx="0">
                  <c:v>0</c:v>
                </c:pt>
                <c:pt idx="1">
                  <c:v>1</c:v>
                </c:pt>
                <c:pt idx="2">
                  <c:v>2</c:v>
                </c:pt>
                <c:pt idx="3">
                  <c:v>4</c:v>
                </c:pt>
                <c:pt idx="4">
                  <c:v>1</c:v>
                </c:pt>
                <c:pt idx="5">
                  <c:v>1</c:v>
                </c:pt>
              </c:numCache>
            </c:numRef>
          </c:val>
          <c:smooth val="1"/>
          <c:extLst>
            <c:ext xmlns:c16="http://schemas.microsoft.com/office/drawing/2014/chart" uri="{C3380CC4-5D6E-409C-BE32-E72D297353CC}">
              <c16:uniqueId val="{00000000-CD3B-4401-8FCF-F470EFF7AC52}"/>
            </c:ext>
          </c:extLst>
        </c:ser>
        <c:ser>
          <c:idx val="1"/>
          <c:order val="1"/>
          <c:tx>
            <c:strRef>
              <c:f>'Graph-Date DRC, Rwanda, Uganda'!$B$3</c:f>
              <c:strCache>
                <c:ptCount val="1"/>
                <c:pt idx="0">
                  <c:v>Biosphere Reserve</c:v>
                </c:pt>
              </c:strCache>
            </c:strRef>
          </c:tx>
          <c:spPr>
            <a:ln w="12700" cap="rnd">
              <a:solidFill>
                <a:srgbClr val="00FF00"/>
              </a:solidFill>
              <a:round/>
            </a:ln>
            <a:effectLst/>
          </c:spPr>
          <c:marker>
            <c:symbol val="none"/>
          </c:marker>
          <c:cat>
            <c:strRef>
              <c:f>'Graph-Date DRC, Rwanda, Uganda'!$C$1:$H$1</c:f>
              <c:strCache>
                <c:ptCount val="6"/>
                <c:pt idx="0">
                  <c:v>1872-1900</c:v>
                </c:pt>
                <c:pt idx="1">
                  <c:v>1901-1925</c:v>
                </c:pt>
                <c:pt idx="2">
                  <c:v>1926-1950</c:v>
                </c:pt>
                <c:pt idx="3">
                  <c:v>1951-1975</c:v>
                </c:pt>
                <c:pt idx="4">
                  <c:v>1976-2000</c:v>
                </c:pt>
                <c:pt idx="5">
                  <c:v>2001-2022</c:v>
                </c:pt>
              </c:strCache>
            </c:strRef>
          </c:cat>
          <c:val>
            <c:numRef>
              <c:f>'Graph-Date DRC, Rwanda, Uganda'!$C$3:$H$3</c:f>
              <c:numCache>
                <c:formatCode>General</c:formatCode>
                <c:ptCount val="6"/>
                <c:pt idx="0">
                  <c:v>0</c:v>
                </c:pt>
                <c:pt idx="1">
                  <c:v>0</c:v>
                </c:pt>
                <c:pt idx="2">
                  <c:v>0</c:v>
                </c:pt>
                <c:pt idx="3">
                  <c:v>0</c:v>
                </c:pt>
                <c:pt idx="4">
                  <c:v>3</c:v>
                </c:pt>
                <c:pt idx="5">
                  <c:v>0</c:v>
                </c:pt>
              </c:numCache>
            </c:numRef>
          </c:val>
          <c:smooth val="1"/>
          <c:extLst>
            <c:ext xmlns:c16="http://schemas.microsoft.com/office/drawing/2014/chart" uri="{C3380CC4-5D6E-409C-BE32-E72D297353CC}">
              <c16:uniqueId val="{00000001-CD3B-4401-8FCF-F470EFF7AC52}"/>
            </c:ext>
          </c:extLst>
        </c:ser>
        <c:ser>
          <c:idx val="2"/>
          <c:order val="2"/>
          <c:tx>
            <c:strRef>
              <c:f>'Graph-Date DRC, Rwanda, Uganda'!$B$4</c:f>
              <c:strCache>
                <c:ptCount val="1"/>
                <c:pt idx="0">
                  <c:v>Wildlife Reserve</c:v>
                </c:pt>
              </c:strCache>
            </c:strRef>
          </c:tx>
          <c:spPr>
            <a:ln w="12700" cap="rnd">
              <a:solidFill>
                <a:srgbClr val="66FFFF"/>
              </a:solidFill>
              <a:round/>
            </a:ln>
            <a:effectLst/>
          </c:spPr>
          <c:marker>
            <c:symbol val="none"/>
          </c:marker>
          <c:cat>
            <c:strRef>
              <c:f>'Graph-Date DRC, Rwanda, Uganda'!$C$1:$H$1</c:f>
              <c:strCache>
                <c:ptCount val="6"/>
                <c:pt idx="0">
                  <c:v>1872-1900</c:v>
                </c:pt>
                <c:pt idx="1">
                  <c:v>1901-1925</c:v>
                </c:pt>
                <c:pt idx="2">
                  <c:v>1926-1950</c:v>
                </c:pt>
                <c:pt idx="3">
                  <c:v>1951-1975</c:v>
                </c:pt>
                <c:pt idx="4">
                  <c:v>1976-2000</c:v>
                </c:pt>
                <c:pt idx="5">
                  <c:v>2001-2022</c:v>
                </c:pt>
              </c:strCache>
            </c:strRef>
          </c:cat>
          <c:val>
            <c:numRef>
              <c:f>'Graph-Date DRC, Rwanda, Uganda'!$C$4:$H$4</c:f>
              <c:numCache>
                <c:formatCode>General</c:formatCode>
                <c:ptCount val="6"/>
                <c:pt idx="0">
                  <c:v>0</c:v>
                </c:pt>
                <c:pt idx="1">
                  <c:v>0</c:v>
                </c:pt>
                <c:pt idx="2">
                  <c:v>0</c:v>
                </c:pt>
                <c:pt idx="3">
                  <c:v>0</c:v>
                </c:pt>
                <c:pt idx="4">
                  <c:v>2</c:v>
                </c:pt>
                <c:pt idx="5">
                  <c:v>0</c:v>
                </c:pt>
              </c:numCache>
            </c:numRef>
          </c:val>
          <c:smooth val="1"/>
          <c:extLst>
            <c:ext xmlns:c16="http://schemas.microsoft.com/office/drawing/2014/chart" uri="{C3380CC4-5D6E-409C-BE32-E72D297353CC}">
              <c16:uniqueId val="{00000002-CD3B-4401-8FCF-F470EFF7AC52}"/>
            </c:ext>
          </c:extLst>
        </c:ser>
        <c:ser>
          <c:idx val="3"/>
          <c:order val="3"/>
          <c:tx>
            <c:strRef>
              <c:f>'Graph-Date DRC, Rwanda, Uganda'!$B$5</c:f>
              <c:strCache>
                <c:ptCount val="1"/>
                <c:pt idx="0">
                  <c:v>Nature Reserve</c:v>
                </c:pt>
              </c:strCache>
            </c:strRef>
          </c:tx>
          <c:spPr>
            <a:ln w="12700" cap="rnd">
              <a:solidFill>
                <a:srgbClr val="FF99FF"/>
              </a:solidFill>
              <a:round/>
            </a:ln>
            <a:effectLst/>
          </c:spPr>
          <c:marker>
            <c:symbol val="none"/>
          </c:marker>
          <c:cat>
            <c:strRef>
              <c:f>'Graph-Date DRC, Rwanda, Uganda'!$C$1:$H$1</c:f>
              <c:strCache>
                <c:ptCount val="6"/>
                <c:pt idx="0">
                  <c:v>1872-1900</c:v>
                </c:pt>
                <c:pt idx="1">
                  <c:v>1901-1925</c:v>
                </c:pt>
                <c:pt idx="2">
                  <c:v>1926-1950</c:v>
                </c:pt>
                <c:pt idx="3">
                  <c:v>1951-1975</c:v>
                </c:pt>
                <c:pt idx="4">
                  <c:v>1976-2000</c:v>
                </c:pt>
                <c:pt idx="5">
                  <c:v>2001-2022</c:v>
                </c:pt>
              </c:strCache>
            </c:strRef>
          </c:cat>
          <c:val>
            <c:numRef>
              <c:f>'Graph-Date DRC, Rwanda, Uganda'!$C$5:$H$5</c:f>
              <c:numCache>
                <c:formatCode>General</c:formatCode>
                <c:ptCount val="6"/>
                <c:pt idx="0">
                  <c:v>0</c:v>
                </c:pt>
                <c:pt idx="1">
                  <c:v>0</c:v>
                </c:pt>
                <c:pt idx="2">
                  <c:v>1</c:v>
                </c:pt>
                <c:pt idx="3">
                  <c:v>1</c:v>
                </c:pt>
                <c:pt idx="4">
                  <c:v>3</c:v>
                </c:pt>
                <c:pt idx="5">
                  <c:v>7</c:v>
                </c:pt>
              </c:numCache>
            </c:numRef>
          </c:val>
          <c:smooth val="1"/>
          <c:extLst>
            <c:ext xmlns:c16="http://schemas.microsoft.com/office/drawing/2014/chart" uri="{C3380CC4-5D6E-409C-BE32-E72D297353CC}">
              <c16:uniqueId val="{00000003-CD3B-4401-8FCF-F470EFF7AC52}"/>
            </c:ext>
          </c:extLst>
        </c:ser>
        <c:ser>
          <c:idx val="4"/>
          <c:order val="4"/>
          <c:tx>
            <c:strRef>
              <c:f>'Graph-Date DRC, Rwanda, Uganda'!$B$6</c:f>
              <c:strCache>
                <c:ptCount val="1"/>
                <c:pt idx="0">
                  <c:v>Scientific Reserve</c:v>
                </c:pt>
              </c:strCache>
            </c:strRef>
          </c:tx>
          <c:spPr>
            <a:ln w="12700" cap="rnd">
              <a:solidFill>
                <a:srgbClr val="008080"/>
              </a:solidFill>
              <a:round/>
            </a:ln>
            <a:effectLst/>
          </c:spPr>
          <c:marker>
            <c:symbol val="none"/>
          </c:marker>
          <c:cat>
            <c:strRef>
              <c:f>'Graph-Date DRC, Rwanda, Uganda'!$C$1:$H$1</c:f>
              <c:strCache>
                <c:ptCount val="6"/>
                <c:pt idx="0">
                  <c:v>1872-1900</c:v>
                </c:pt>
                <c:pt idx="1">
                  <c:v>1901-1925</c:v>
                </c:pt>
                <c:pt idx="2">
                  <c:v>1926-1950</c:v>
                </c:pt>
                <c:pt idx="3">
                  <c:v>1951-1975</c:v>
                </c:pt>
                <c:pt idx="4">
                  <c:v>1976-2000</c:v>
                </c:pt>
                <c:pt idx="5">
                  <c:v>2001-2022</c:v>
                </c:pt>
              </c:strCache>
            </c:strRef>
          </c:cat>
          <c:val>
            <c:numRef>
              <c:f>'Graph-Date DRC, Rwanda, Uganda'!$C$6:$H$6</c:f>
              <c:numCache>
                <c:formatCode>General</c:formatCode>
                <c:ptCount val="6"/>
                <c:pt idx="0">
                  <c:v>0</c:v>
                </c:pt>
                <c:pt idx="1">
                  <c:v>0</c:v>
                </c:pt>
                <c:pt idx="2">
                  <c:v>0</c:v>
                </c:pt>
                <c:pt idx="3">
                  <c:v>0</c:v>
                </c:pt>
                <c:pt idx="4">
                  <c:v>1</c:v>
                </c:pt>
                <c:pt idx="5">
                  <c:v>0</c:v>
                </c:pt>
              </c:numCache>
            </c:numRef>
          </c:val>
          <c:smooth val="1"/>
          <c:extLst>
            <c:ext xmlns:c16="http://schemas.microsoft.com/office/drawing/2014/chart" uri="{C3380CC4-5D6E-409C-BE32-E72D297353CC}">
              <c16:uniqueId val="{00000004-CD3B-4401-8FCF-F470EFF7AC52}"/>
            </c:ext>
          </c:extLst>
        </c:ser>
        <c:ser>
          <c:idx val="5"/>
          <c:order val="5"/>
          <c:tx>
            <c:strRef>
              <c:f>'Graph-Date DRC, Rwanda, Uganda'!$B$7</c:f>
              <c:strCache>
                <c:ptCount val="1"/>
                <c:pt idx="0">
                  <c:v>Community Reserve</c:v>
                </c:pt>
              </c:strCache>
            </c:strRef>
          </c:tx>
          <c:spPr>
            <a:ln w="12700" cap="rnd">
              <a:solidFill>
                <a:srgbClr val="0000FF"/>
              </a:solidFill>
              <a:round/>
            </a:ln>
            <a:effectLst/>
          </c:spPr>
          <c:marker>
            <c:symbol val="none"/>
          </c:marker>
          <c:cat>
            <c:strRef>
              <c:f>'Graph-Date DRC, Rwanda, Uganda'!$C$1:$H$1</c:f>
              <c:strCache>
                <c:ptCount val="6"/>
                <c:pt idx="0">
                  <c:v>1872-1900</c:v>
                </c:pt>
                <c:pt idx="1">
                  <c:v>1901-1925</c:v>
                </c:pt>
                <c:pt idx="2">
                  <c:v>1926-1950</c:v>
                </c:pt>
                <c:pt idx="3">
                  <c:v>1951-1975</c:v>
                </c:pt>
                <c:pt idx="4">
                  <c:v>1976-2000</c:v>
                </c:pt>
                <c:pt idx="5">
                  <c:v>2001-2022</c:v>
                </c:pt>
              </c:strCache>
            </c:strRef>
          </c:cat>
          <c:val>
            <c:numRef>
              <c:f>'Graph-Date DRC, Rwanda, Uganda'!$C$7:$H$7</c:f>
              <c:numCache>
                <c:formatCode>General</c:formatCode>
                <c:ptCount val="6"/>
                <c:pt idx="0">
                  <c:v>0</c:v>
                </c:pt>
                <c:pt idx="1">
                  <c:v>0</c:v>
                </c:pt>
                <c:pt idx="2">
                  <c:v>0</c:v>
                </c:pt>
                <c:pt idx="3">
                  <c:v>0</c:v>
                </c:pt>
                <c:pt idx="4">
                  <c:v>0</c:v>
                </c:pt>
                <c:pt idx="5">
                  <c:v>1</c:v>
                </c:pt>
              </c:numCache>
            </c:numRef>
          </c:val>
          <c:smooth val="1"/>
          <c:extLst>
            <c:ext xmlns:c16="http://schemas.microsoft.com/office/drawing/2014/chart" uri="{C3380CC4-5D6E-409C-BE32-E72D297353CC}">
              <c16:uniqueId val="{00000005-CD3B-4401-8FCF-F470EFF7AC52}"/>
            </c:ext>
          </c:extLst>
        </c:ser>
        <c:ser>
          <c:idx val="6"/>
          <c:order val="6"/>
          <c:tx>
            <c:strRef>
              <c:f>'Graph-Date DRC, Rwanda, Uganda'!$B$8</c:f>
              <c:strCache>
                <c:ptCount val="1"/>
                <c:pt idx="0">
                  <c:v>Hunting Reserve</c:v>
                </c:pt>
              </c:strCache>
            </c:strRef>
          </c:tx>
          <c:spPr>
            <a:ln w="12700" cap="rnd">
              <a:solidFill>
                <a:srgbClr val="FF0000"/>
              </a:solidFill>
              <a:round/>
            </a:ln>
            <a:effectLst/>
          </c:spPr>
          <c:marker>
            <c:symbol val="none"/>
          </c:marker>
          <c:cat>
            <c:strRef>
              <c:f>'Graph-Date DRC, Rwanda, Uganda'!$C$1:$H$1</c:f>
              <c:strCache>
                <c:ptCount val="6"/>
                <c:pt idx="0">
                  <c:v>1872-1900</c:v>
                </c:pt>
                <c:pt idx="1">
                  <c:v>1901-1925</c:v>
                </c:pt>
                <c:pt idx="2">
                  <c:v>1926-1950</c:v>
                </c:pt>
                <c:pt idx="3">
                  <c:v>1951-1975</c:v>
                </c:pt>
                <c:pt idx="4">
                  <c:v>1976-2000</c:v>
                </c:pt>
                <c:pt idx="5">
                  <c:v>2001-2022</c:v>
                </c:pt>
              </c:strCache>
            </c:strRef>
          </c:cat>
          <c:val>
            <c:numRef>
              <c:f>'Graph-Date DRC, Rwanda, Uganda'!$C$8:$H$8</c:f>
              <c:numCache>
                <c:formatCode>General</c:formatCode>
                <c:ptCount val="6"/>
                <c:pt idx="0">
                  <c:v>0</c:v>
                </c:pt>
                <c:pt idx="1">
                  <c:v>1</c:v>
                </c:pt>
                <c:pt idx="2">
                  <c:v>3</c:v>
                </c:pt>
                <c:pt idx="3">
                  <c:v>7</c:v>
                </c:pt>
                <c:pt idx="4">
                  <c:v>0</c:v>
                </c:pt>
                <c:pt idx="5">
                  <c:v>1</c:v>
                </c:pt>
              </c:numCache>
            </c:numRef>
          </c:val>
          <c:smooth val="1"/>
          <c:extLst>
            <c:ext xmlns:c16="http://schemas.microsoft.com/office/drawing/2014/chart" uri="{C3380CC4-5D6E-409C-BE32-E72D297353CC}">
              <c16:uniqueId val="{00000006-CD3B-4401-8FCF-F470EFF7AC52}"/>
            </c:ext>
          </c:extLst>
        </c:ser>
        <c:dLbls>
          <c:showLegendKey val="0"/>
          <c:showVal val="0"/>
          <c:showCatName val="0"/>
          <c:showSerName val="0"/>
          <c:showPercent val="0"/>
          <c:showBubbleSize val="0"/>
        </c:dLbls>
        <c:smooth val="0"/>
        <c:axId val="855649232"/>
        <c:axId val="855649648"/>
      </c:lineChart>
      <c:catAx>
        <c:axId val="8556492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r>
                  <a:rPr lang="en-GB" b="1"/>
                  <a:t>Time period</a:t>
                </a:r>
              </a:p>
            </c:rich>
          </c:tx>
          <c:layout>
            <c:manualLayout>
              <c:xMode val="edge"/>
              <c:yMode val="edge"/>
              <c:x val="0.45885050679417255"/>
              <c:y val="0.8578552384816978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25400" cap="flat" cmpd="sng" algn="ctr">
            <a:solidFill>
              <a:schemeClr val="accent2">
                <a:lumMod val="60000"/>
                <a:lumOff val="40000"/>
              </a:schemeClr>
            </a:solidFill>
            <a:round/>
          </a:ln>
          <a:effectLst/>
        </c:spPr>
        <c:txPr>
          <a:bodyPr rot="-60000000" spcFirstLastPara="1" vertOverflow="ellipsis" vert="horz" wrap="square" anchor="ctr" anchorCtr="1"/>
          <a:lstStyle/>
          <a:p>
            <a:pPr>
              <a:defRPr sz="900" b="0" i="0" u="none" strike="noStrike" kern="1200" baseline="0">
                <a:solidFill>
                  <a:schemeClr val="accent2">
                    <a:lumMod val="75000"/>
                  </a:schemeClr>
                </a:solidFill>
                <a:latin typeface="Times New Roman" panose="02020603050405020304" pitchFamily="18" charset="0"/>
                <a:ea typeface="+mn-ea"/>
                <a:cs typeface="Times New Roman" panose="02020603050405020304" pitchFamily="18" charset="0"/>
              </a:defRPr>
            </a:pPr>
            <a:endParaRPr lang="en-US"/>
          </a:p>
        </c:txPr>
        <c:crossAx val="855649648"/>
        <c:crosses val="autoZero"/>
        <c:auto val="1"/>
        <c:lblAlgn val="ctr"/>
        <c:lblOffset val="800"/>
        <c:noMultiLvlLbl val="0"/>
      </c:catAx>
      <c:valAx>
        <c:axId val="855649648"/>
        <c:scaling>
          <c:orientation val="minMax"/>
          <c:min val="-1"/>
        </c:scaling>
        <c:delete val="0"/>
        <c:axPos val="l"/>
        <c:title>
          <c:tx>
            <c:rich>
              <a:bodyPr rot="-5400000" spcFirstLastPara="1" vertOverflow="ellipsis" vert="horz" wrap="square" anchor="ctr" anchorCtr="1"/>
              <a:lstStyle/>
              <a:p>
                <a:pPr>
                  <a:defRPr sz="10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r>
                  <a:rPr lang="en-GB" sz="1000" b="1" i="0" cap="none" spc="0" baseline="0">
                    <a:ln>
                      <a:noFill/>
                    </a:ln>
                    <a:solidFill>
                      <a:schemeClr val="tx1">
                        <a:lumMod val="95000"/>
                        <a:lumOff val="5000"/>
                      </a:schemeClr>
                    </a:solidFill>
                    <a:effectLst/>
                  </a:rPr>
                  <a:t>Number of established PAs in a quarter century</a:t>
                </a:r>
                <a:endParaRPr lang="en-GB" sz="1000" b="1" cap="none" spc="0">
                  <a:ln>
                    <a:noFill/>
                  </a:ln>
                  <a:solidFill>
                    <a:schemeClr val="tx1">
                      <a:lumMod val="95000"/>
                      <a:lumOff val="5000"/>
                    </a:schemeClr>
                  </a:solidFill>
                  <a:effectLst/>
                </a:endParaRPr>
              </a:p>
            </c:rich>
          </c:tx>
          <c:layout>
            <c:manualLayout>
              <c:xMode val="edge"/>
              <c:yMode val="edge"/>
              <c:x val="1.7790954879305571E-2"/>
              <c:y val="0.1554672268653558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25400">
            <a:solidFill>
              <a:schemeClr val="accent2">
                <a:lumMod val="60000"/>
                <a:lumOff val="40000"/>
              </a:schemeClr>
            </a:solidFill>
          </a:ln>
          <a:effectLst/>
        </c:spPr>
        <c:txPr>
          <a:bodyPr rot="-60000000" spcFirstLastPara="1" vertOverflow="ellipsis" vert="horz" wrap="square" anchor="ctr" anchorCtr="1"/>
          <a:lstStyle/>
          <a:p>
            <a:pPr>
              <a:defRPr sz="900" b="0" i="0" u="none" strike="noStrike" kern="1200" baseline="0">
                <a:solidFill>
                  <a:schemeClr val="accent2">
                    <a:lumMod val="75000"/>
                  </a:schemeClr>
                </a:solidFill>
                <a:latin typeface="Times New Roman" panose="02020603050405020304" pitchFamily="18" charset="0"/>
                <a:ea typeface="+mn-ea"/>
                <a:cs typeface="Times New Roman" panose="02020603050405020304" pitchFamily="18" charset="0"/>
              </a:defRPr>
            </a:pPr>
            <a:endParaRPr lang="en-US"/>
          </a:p>
        </c:txPr>
        <c:crossAx val="8556492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95000"/>
          <a:lumOff val="5000"/>
        </a:schemeClr>
      </a:solidFill>
      <a:round/>
    </a:ln>
    <a:effectLst>
      <a:softEdge rad="0"/>
    </a:effectLst>
  </c:spPr>
  <c:txPr>
    <a:bodyPr/>
    <a:lstStyle/>
    <a:p>
      <a:pPr>
        <a:defRPr>
          <a:solidFill>
            <a:schemeClr val="tx1">
              <a:lumMod val="95000"/>
              <a:lumOff val="5000"/>
            </a:schemeClr>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900" b="1">
                <a:solidFill>
                  <a:schemeClr val="tx1">
                    <a:lumMod val="95000"/>
                    <a:lumOff val="5000"/>
                  </a:schemeClr>
                </a:solidFill>
                <a:latin typeface="Times New Roman" panose="02020603050405020304" pitchFamily="18" charset="0"/>
                <a:cs typeface="Times New Roman" panose="02020603050405020304" pitchFamily="18" charset="0"/>
              </a:rPr>
              <a:t>Rwanda</a:t>
            </a:r>
          </a:p>
        </c:rich>
      </c:tx>
      <c:layout>
        <c:manualLayout>
          <c:xMode val="edge"/>
          <c:yMode val="edge"/>
          <c:x val="0.87003739097939892"/>
          <c:y val="1.5841584158415842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'Graph-Date DRC, Rwanda, Uganda'!$B$10</c:f>
              <c:strCache>
                <c:ptCount val="1"/>
                <c:pt idx="0">
                  <c:v>National Park</c:v>
                </c:pt>
              </c:strCache>
            </c:strRef>
          </c:tx>
          <c:spPr>
            <a:ln w="12700" cap="rnd">
              <a:solidFill>
                <a:schemeClr val="tx1">
                  <a:lumMod val="95000"/>
                  <a:lumOff val="5000"/>
                </a:schemeClr>
              </a:solidFill>
              <a:round/>
            </a:ln>
            <a:effectLst/>
          </c:spPr>
          <c:marker>
            <c:symbol val="none"/>
          </c:marker>
          <c:cat>
            <c:strRef>
              <c:f>'Graph-Date DRC, Rwanda, Uganda'!$C$1:$H$1</c:f>
              <c:strCache>
                <c:ptCount val="6"/>
                <c:pt idx="0">
                  <c:v>1872-1900</c:v>
                </c:pt>
                <c:pt idx="1">
                  <c:v>1901-1925</c:v>
                </c:pt>
                <c:pt idx="2">
                  <c:v>1926-1950</c:v>
                </c:pt>
                <c:pt idx="3">
                  <c:v>1951-1975</c:v>
                </c:pt>
                <c:pt idx="4">
                  <c:v>1976-2000</c:v>
                </c:pt>
                <c:pt idx="5">
                  <c:v>2001-2022</c:v>
                </c:pt>
              </c:strCache>
            </c:strRef>
          </c:cat>
          <c:val>
            <c:numRef>
              <c:f>'Graph-Date DRC, Rwanda, Uganda'!$C$10:$H$10</c:f>
              <c:numCache>
                <c:formatCode>General</c:formatCode>
                <c:ptCount val="6"/>
                <c:pt idx="0">
                  <c:v>0</c:v>
                </c:pt>
                <c:pt idx="1">
                  <c:v>1</c:v>
                </c:pt>
                <c:pt idx="2">
                  <c:v>1</c:v>
                </c:pt>
                <c:pt idx="3">
                  <c:v>0</c:v>
                </c:pt>
                <c:pt idx="4">
                  <c:v>0</c:v>
                </c:pt>
                <c:pt idx="5">
                  <c:v>2</c:v>
                </c:pt>
              </c:numCache>
            </c:numRef>
          </c:val>
          <c:smooth val="1"/>
          <c:extLst>
            <c:ext xmlns:c16="http://schemas.microsoft.com/office/drawing/2014/chart" uri="{C3380CC4-5D6E-409C-BE32-E72D297353CC}">
              <c16:uniqueId val="{00000000-A0F8-4892-A690-BFBBC99E9032}"/>
            </c:ext>
          </c:extLst>
        </c:ser>
        <c:ser>
          <c:idx val="1"/>
          <c:order val="1"/>
          <c:tx>
            <c:strRef>
              <c:f>'Graph-Date DRC, Rwanda, Uganda'!$B$11</c:f>
              <c:strCache>
                <c:ptCount val="1"/>
                <c:pt idx="0">
                  <c:v>Protected Marshland</c:v>
                </c:pt>
              </c:strCache>
            </c:strRef>
          </c:tx>
          <c:spPr>
            <a:ln w="12700" cap="rnd">
              <a:solidFill>
                <a:srgbClr val="00B050"/>
              </a:solidFill>
              <a:round/>
            </a:ln>
            <a:effectLst/>
          </c:spPr>
          <c:marker>
            <c:symbol val="none"/>
          </c:marker>
          <c:cat>
            <c:strRef>
              <c:f>'Graph-Date DRC, Rwanda, Uganda'!$C$1:$H$1</c:f>
              <c:strCache>
                <c:ptCount val="6"/>
                <c:pt idx="0">
                  <c:v>1872-1900</c:v>
                </c:pt>
                <c:pt idx="1">
                  <c:v>1901-1925</c:v>
                </c:pt>
                <c:pt idx="2">
                  <c:v>1926-1950</c:v>
                </c:pt>
                <c:pt idx="3">
                  <c:v>1951-1975</c:v>
                </c:pt>
                <c:pt idx="4">
                  <c:v>1976-2000</c:v>
                </c:pt>
                <c:pt idx="5">
                  <c:v>2001-2022</c:v>
                </c:pt>
              </c:strCache>
            </c:strRef>
          </c:cat>
          <c:val>
            <c:numRef>
              <c:f>'Graph-Date DRC, Rwanda, Uganda'!$C$11:$H$11</c:f>
              <c:numCache>
                <c:formatCode>General</c:formatCode>
                <c:ptCount val="6"/>
                <c:pt idx="0">
                  <c:v>0</c:v>
                </c:pt>
                <c:pt idx="1">
                  <c:v>0</c:v>
                </c:pt>
                <c:pt idx="2">
                  <c:v>0</c:v>
                </c:pt>
                <c:pt idx="3">
                  <c:v>0</c:v>
                </c:pt>
                <c:pt idx="4">
                  <c:v>0</c:v>
                </c:pt>
                <c:pt idx="5">
                  <c:v>1</c:v>
                </c:pt>
              </c:numCache>
            </c:numRef>
          </c:val>
          <c:smooth val="1"/>
          <c:extLst>
            <c:ext xmlns:c16="http://schemas.microsoft.com/office/drawing/2014/chart" uri="{C3380CC4-5D6E-409C-BE32-E72D297353CC}">
              <c16:uniqueId val="{00000001-A0F8-4892-A690-BFBBC99E9032}"/>
            </c:ext>
          </c:extLst>
        </c:ser>
        <c:dLbls>
          <c:showLegendKey val="0"/>
          <c:showVal val="0"/>
          <c:showCatName val="0"/>
          <c:showSerName val="0"/>
          <c:showPercent val="0"/>
          <c:showBubbleSize val="0"/>
        </c:dLbls>
        <c:smooth val="0"/>
        <c:axId val="910088992"/>
        <c:axId val="910091904"/>
      </c:lineChart>
      <c:catAx>
        <c:axId val="9100889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r>
                  <a:rPr lang="en-GB" b="1">
                    <a:solidFill>
                      <a:schemeClr val="tx1">
                        <a:lumMod val="95000"/>
                        <a:lumOff val="5000"/>
                      </a:schemeClr>
                    </a:solidFill>
                    <a:latin typeface="Times New Roman" panose="02020603050405020304" pitchFamily="18" charset="0"/>
                    <a:cs typeface="Times New Roman" panose="02020603050405020304" pitchFamily="18" charset="0"/>
                  </a:rPr>
                  <a:t>Time period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25400" cap="flat" cmpd="sng" algn="ctr">
            <a:solidFill>
              <a:schemeClr val="accent2">
                <a:lumMod val="60000"/>
                <a:lumOff val="40000"/>
              </a:schemeClr>
            </a:solidFill>
            <a:round/>
          </a:ln>
          <a:effectLst/>
        </c:spPr>
        <c:txPr>
          <a:bodyPr rot="-60000000" spcFirstLastPara="1" vertOverflow="ellipsis" vert="horz" wrap="square" anchor="ctr" anchorCtr="1"/>
          <a:lstStyle/>
          <a:p>
            <a:pPr>
              <a:defRPr sz="900" b="0" i="0" u="none" strike="noStrike" kern="1200" baseline="0">
                <a:solidFill>
                  <a:schemeClr val="accent2">
                    <a:lumMod val="75000"/>
                  </a:schemeClr>
                </a:solidFill>
                <a:latin typeface="Times New Roman" panose="02020603050405020304" pitchFamily="18" charset="0"/>
                <a:ea typeface="+mn-ea"/>
                <a:cs typeface="Times New Roman" panose="02020603050405020304" pitchFamily="18" charset="0"/>
              </a:defRPr>
            </a:pPr>
            <a:endParaRPr lang="en-US"/>
          </a:p>
        </c:txPr>
        <c:crossAx val="910091904"/>
        <c:crosses val="autoZero"/>
        <c:auto val="1"/>
        <c:lblAlgn val="ctr"/>
        <c:lblOffset val="800"/>
        <c:noMultiLvlLbl val="0"/>
      </c:catAx>
      <c:valAx>
        <c:axId val="910091904"/>
        <c:scaling>
          <c:orientation val="minMax"/>
          <c:max val="2"/>
          <c:min val="-0.5"/>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solidFill>
                      <a:schemeClr val="tx1">
                        <a:lumMod val="95000"/>
                        <a:lumOff val="5000"/>
                      </a:schemeClr>
                    </a:solidFill>
                    <a:latin typeface="Times New Roman" panose="02020603050405020304" pitchFamily="18" charset="0"/>
                    <a:cs typeface="Times New Roman" panose="02020603050405020304" pitchFamily="18" charset="0"/>
                  </a:rPr>
                  <a:t>Number of established PAs in</a:t>
                </a:r>
                <a:r>
                  <a:rPr lang="en-GB" b="1" baseline="0">
                    <a:solidFill>
                      <a:schemeClr val="tx1">
                        <a:lumMod val="95000"/>
                        <a:lumOff val="5000"/>
                      </a:schemeClr>
                    </a:solidFill>
                    <a:latin typeface="Times New Roman" panose="02020603050405020304" pitchFamily="18" charset="0"/>
                    <a:cs typeface="Times New Roman" panose="02020603050405020304" pitchFamily="18" charset="0"/>
                  </a:rPr>
                  <a:t> a quarter century</a:t>
                </a:r>
                <a:endParaRPr lang="en-GB" b="1">
                  <a:solidFill>
                    <a:schemeClr val="tx1">
                      <a:lumMod val="95000"/>
                      <a:lumOff val="5000"/>
                    </a:schemeClr>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25400">
            <a:solidFill>
              <a:schemeClr val="accent2">
                <a:lumMod val="60000"/>
                <a:lumOff val="40000"/>
              </a:schemeClr>
            </a:solidFill>
          </a:ln>
          <a:effectLst/>
        </c:spPr>
        <c:txPr>
          <a:bodyPr rot="-60000000" spcFirstLastPara="1" vertOverflow="ellipsis" vert="horz" wrap="square" anchor="ctr" anchorCtr="1"/>
          <a:lstStyle/>
          <a:p>
            <a:pPr>
              <a:defRPr sz="900" b="0" i="0" u="none" strike="noStrike" kern="1200" baseline="0">
                <a:solidFill>
                  <a:schemeClr val="accent2">
                    <a:lumMod val="75000"/>
                  </a:schemeClr>
                </a:solidFill>
                <a:latin typeface="Times New Roman" panose="02020603050405020304" pitchFamily="18" charset="0"/>
                <a:ea typeface="+mn-ea"/>
                <a:cs typeface="Times New Roman" panose="02020603050405020304" pitchFamily="18" charset="0"/>
              </a:defRPr>
            </a:pPr>
            <a:endParaRPr lang="en-US"/>
          </a:p>
        </c:txPr>
        <c:crossAx val="9100889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95000"/>
          <a:lumOff val="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900" b="1">
                <a:solidFill>
                  <a:schemeClr val="tx1">
                    <a:lumMod val="95000"/>
                    <a:lumOff val="5000"/>
                  </a:schemeClr>
                </a:solidFill>
                <a:latin typeface="Times New Roman" panose="02020603050405020304" pitchFamily="18" charset="0"/>
                <a:cs typeface="Times New Roman" panose="02020603050405020304" pitchFamily="18" charset="0"/>
              </a:rPr>
              <a:t>Uganda</a:t>
            </a:r>
          </a:p>
        </c:rich>
      </c:tx>
      <c:layout>
        <c:manualLayout>
          <c:xMode val="edge"/>
          <c:yMode val="edge"/>
          <c:x val="0.88362252737086822"/>
          <c:y val="1.5873015873015872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'Graph-Date DRC, Rwanda, Uganda'!$B$13</c:f>
              <c:strCache>
                <c:ptCount val="1"/>
                <c:pt idx="0">
                  <c:v>National Park</c:v>
                </c:pt>
              </c:strCache>
            </c:strRef>
          </c:tx>
          <c:spPr>
            <a:ln w="12700" cap="rnd">
              <a:solidFill>
                <a:srgbClr val="0070C0"/>
              </a:solidFill>
              <a:round/>
            </a:ln>
            <a:effectLst/>
          </c:spPr>
          <c:marker>
            <c:symbol val="none"/>
          </c:marker>
          <c:cat>
            <c:strRef>
              <c:f>'Graph-Date DRC, Rwanda, Uganda'!$C$1:$H$1</c:f>
              <c:strCache>
                <c:ptCount val="6"/>
                <c:pt idx="0">
                  <c:v>1872-1900</c:v>
                </c:pt>
                <c:pt idx="1">
                  <c:v>1901-1925</c:v>
                </c:pt>
                <c:pt idx="2">
                  <c:v>1926-1950</c:v>
                </c:pt>
                <c:pt idx="3">
                  <c:v>1951-1975</c:v>
                </c:pt>
                <c:pt idx="4">
                  <c:v>1976-2000</c:v>
                </c:pt>
                <c:pt idx="5">
                  <c:v>2001-2022</c:v>
                </c:pt>
              </c:strCache>
            </c:strRef>
          </c:cat>
          <c:val>
            <c:numRef>
              <c:f>'Graph-Date DRC, Rwanda, Uganda'!$C$13:$H$13</c:f>
              <c:numCache>
                <c:formatCode>General</c:formatCode>
                <c:ptCount val="6"/>
                <c:pt idx="0">
                  <c:v>0</c:v>
                </c:pt>
                <c:pt idx="1">
                  <c:v>0</c:v>
                </c:pt>
                <c:pt idx="2">
                  <c:v>1</c:v>
                </c:pt>
                <c:pt idx="3">
                  <c:v>4</c:v>
                </c:pt>
                <c:pt idx="4">
                  <c:v>4</c:v>
                </c:pt>
                <c:pt idx="5">
                  <c:v>1</c:v>
                </c:pt>
              </c:numCache>
            </c:numRef>
          </c:val>
          <c:smooth val="1"/>
          <c:extLst>
            <c:ext xmlns:c16="http://schemas.microsoft.com/office/drawing/2014/chart" uri="{C3380CC4-5D6E-409C-BE32-E72D297353CC}">
              <c16:uniqueId val="{00000000-F99F-4E0D-8916-B3CBB32C2417}"/>
            </c:ext>
          </c:extLst>
        </c:ser>
        <c:ser>
          <c:idx val="1"/>
          <c:order val="1"/>
          <c:tx>
            <c:strRef>
              <c:f>'Graph-Date DRC, Rwanda, Uganda'!$B$14</c:f>
              <c:strCache>
                <c:ptCount val="1"/>
                <c:pt idx="0">
                  <c:v>Wildlife Reserve</c:v>
                </c:pt>
              </c:strCache>
            </c:strRef>
          </c:tx>
          <c:spPr>
            <a:ln w="12700" cap="rnd">
              <a:solidFill>
                <a:srgbClr val="FF0000"/>
              </a:solidFill>
              <a:round/>
            </a:ln>
            <a:effectLst/>
          </c:spPr>
          <c:marker>
            <c:symbol val="none"/>
          </c:marker>
          <c:cat>
            <c:strRef>
              <c:f>'Graph-Date DRC, Rwanda, Uganda'!$C$1:$H$1</c:f>
              <c:strCache>
                <c:ptCount val="6"/>
                <c:pt idx="0">
                  <c:v>1872-1900</c:v>
                </c:pt>
                <c:pt idx="1">
                  <c:v>1901-1925</c:v>
                </c:pt>
                <c:pt idx="2">
                  <c:v>1926-1950</c:v>
                </c:pt>
                <c:pt idx="3">
                  <c:v>1951-1975</c:v>
                </c:pt>
                <c:pt idx="4">
                  <c:v>1976-2000</c:v>
                </c:pt>
                <c:pt idx="5">
                  <c:v>2001-2022</c:v>
                </c:pt>
              </c:strCache>
            </c:strRef>
          </c:cat>
          <c:val>
            <c:numRef>
              <c:f>'Graph-Date DRC, Rwanda, Uganda'!$C$14:$H$14</c:f>
              <c:numCache>
                <c:formatCode>General</c:formatCode>
                <c:ptCount val="6"/>
                <c:pt idx="0">
                  <c:v>0</c:v>
                </c:pt>
                <c:pt idx="1">
                  <c:v>0</c:v>
                </c:pt>
                <c:pt idx="2">
                  <c:v>1</c:v>
                </c:pt>
                <c:pt idx="3">
                  <c:v>10</c:v>
                </c:pt>
                <c:pt idx="4">
                  <c:v>1</c:v>
                </c:pt>
                <c:pt idx="5">
                  <c:v>0</c:v>
                </c:pt>
              </c:numCache>
            </c:numRef>
          </c:val>
          <c:smooth val="1"/>
          <c:extLst>
            <c:ext xmlns:c16="http://schemas.microsoft.com/office/drawing/2014/chart" uri="{C3380CC4-5D6E-409C-BE32-E72D297353CC}">
              <c16:uniqueId val="{00000001-F99F-4E0D-8916-B3CBB32C2417}"/>
            </c:ext>
          </c:extLst>
        </c:ser>
        <c:ser>
          <c:idx val="2"/>
          <c:order val="2"/>
          <c:tx>
            <c:strRef>
              <c:f>'Graph-Date DRC, Rwanda, Uganda'!$B$15</c:f>
              <c:strCache>
                <c:ptCount val="1"/>
                <c:pt idx="0">
                  <c:v>Community Wildlife Management Area</c:v>
                </c:pt>
              </c:strCache>
            </c:strRef>
          </c:tx>
          <c:spPr>
            <a:ln w="12700" cap="rnd">
              <a:solidFill>
                <a:srgbClr val="FF99FF"/>
              </a:solidFill>
              <a:round/>
            </a:ln>
            <a:effectLst/>
          </c:spPr>
          <c:marker>
            <c:symbol val="none"/>
          </c:marker>
          <c:cat>
            <c:strRef>
              <c:f>'Graph-Date DRC, Rwanda, Uganda'!$C$1:$H$1</c:f>
              <c:strCache>
                <c:ptCount val="6"/>
                <c:pt idx="0">
                  <c:v>1872-1900</c:v>
                </c:pt>
                <c:pt idx="1">
                  <c:v>1901-1925</c:v>
                </c:pt>
                <c:pt idx="2">
                  <c:v>1926-1950</c:v>
                </c:pt>
                <c:pt idx="3">
                  <c:v>1951-1975</c:v>
                </c:pt>
                <c:pt idx="4">
                  <c:v>1976-2000</c:v>
                </c:pt>
                <c:pt idx="5">
                  <c:v>2001-2022</c:v>
                </c:pt>
              </c:strCache>
            </c:strRef>
          </c:cat>
          <c:val>
            <c:numRef>
              <c:f>'Graph-Date DRC, Rwanda, Uganda'!$C$15:$H$15</c:f>
              <c:numCache>
                <c:formatCode>General</c:formatCode>
                <c:ptCount val="6"/>
                <c:pt idx="0">
                  <c:v>0</c:v>
                </c:pt>
                <c:pt idx="1">
                  <c:v>0</c:v>
                </c:pt>
                <c:pt idx="2">
                  <c:v>0</c:v>
                </c:pt>
                <c:pt idx="3">
                  <c:v>0</c:v>
                </c:pt>
                <c:pt idx="4">
                  <c:v>0</c:v>
                </c:pt>
                <c:pt idx="5">
                  <c:v>5</c:v>
                </c:pt>
              </c:numCache>
            </c:numRef>
          </c:val>
          <c:smooth val="1"/>
          <c:extLst>
            <c:ext xmlns:c16="http://schemas.microsoft.com/office/drawing/2014/chart" uri="{C3380CC4-5D6E-409C-BE32-E72D297353CC}">
              <c16:uniqueId val="{00000002-F99F-4E0D-8916-B3CBB32C2417}"/>
            </c:ext>
          </c:extLst>
        </c:ser>
        <c:ser>
          <c:idx val="3"/>
          <c:order val="3"/>
          <c:tx>
            <c:strRef>
              <c:f>'Graph-Date DRC, Rwanda, Uganda'!$B$16</c:f>
              <c:strCache>
                <c:ptCount val="1"/>
                <c:pt idx="0">
                  <c:v>Wildlife Sanctuary</c:v>
                </c:pt>
              </c:strCache>
            </c:strRef>
          </c:tx>
          <c:spPr>
            <a:ln w="12700" cap="rnd">
              <a:solidFill>
                <a:srgbClr val="00FF00"/>
              </a:solidFill>
              <a:round/>
            </a:ln>
            <a:effectLst/>
          </c:spPr>
          <c:marker>
            <c:symbol val="none"/>
          </c:marker>
          <c:cat>
            <c:strRef>
              <c:f>'Graph-Date DRC, Rwanda, Uganda'!$C$1:$H$1</c:f>
              <c:strCache>
                <c:ptCount val="6"/>
                <c:pt idx="0">
                  <c:v>1872-1900</c:v>
                </c:pt>
                <c:pt idx="1">
                  <c:v>1901-1925</c:v>
                </c:pt>
                <c:pt idx="2">
                  <c:v>1926-1950</c:v>
                </c:pt>
                <c:pt idx="3">
                  <c:v>1951-1975</c:v>
                </c:pt>
                <c:pt idx="4">
                  <c:v>1976-2000</c:v>
                </c:pt>
                <c:pt idx="5">
                  <c:v>2001-2022</c:v>
                </c:pt>
              </c:strCache>
            </c:strRef>
          </c:cat>
          <c:val>
            <c:numRef>
              <c:f>'Graph-Date DRC, Rwanda, Uganda'!$C$16:$H$16</c:f>
              <c:numCache>
                <c:formatCode>General</c:formatCode>
                <c:ptCount val="6"/>
                <c:pt idx="0">
                  <c:v>0</c:v>
                </c:pt>
                <c:pt idx="1">
                  <c:v>0</c:v>
                </c:pt>
                <c:pt idx="2">
                  <c:v>2</c:v>
                </c:pt>
                <c:pt idx="3">
                  <c:v>5</c:v>
                </c:pt>
                <c:pt idx="4">
                  <c:v>1</c:v>
                </c:pt>
                <c:pt idx="5">
                  <c:v>1</c:v>
                </c:pt>
              </c:numCache>
            </c:numRef>
          </c:val>
          <c:smooth val="1"/>
          <c:extLst>
            <c:ext xmlns:c16="http://schemas.microsoft.com/office/drawing/2014/chart" uri="{C3380CC4-5D6E-409C-BE32-E72D297353CC}">
              <c16:uniqueId val="{00000003-F99F-4E0D-8916-B3CBB32C2417}"/>
            </c:ext>
          </c:extLst>
        </c:ser>
        <c:dLbls>
          <c:showLegendKey val="0"/>
          <c:showVal val="0"/>
          <c:showCatName val="0"/>
          <c:showSerName val="0"/>
          <c:showPercent val="0"/>
          <c:showBubbleSize val="0"/>
        </c:dLbls>
        <c:smooth val="0"/>
        <c:axId val="904538048"/>
        <c:axId val="904539296"/>
      </c:lineChart>
      <c:catAx>
        <c:axId val="9045380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solidFill>
                      <a:schemeClr val="tx1">
                        <a:lumMod val="95000"/>
                        <a:lumOff val="5000"/>
                      </a:schemeClr>
                    </a:solidFill>
                    <a:latin typeface="Times New Roman" panose="02020603050405020304" pitchFamily="18" charset="0"/>
                    <a:cs typeface="Times New Roman" panose="02020603050405020304" pitchFamily="18" charset="0"/>
                  </a:rPr>
                  <a:t>Time period</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25400" cap="flat" cmpd="sng" algn="ctr">
            <a:solidFill>
              <a:schemeClr val="accent2">
                <a:lumMod val="60000"/>
                <a:lumOff val="40000"/>
              </a:schemeClr>
            </a:solidFill>
            <a:round/>
          </a:ln>
          <a:effectLst/>
        </c:spPr>
        <c:txPr>
          <a:bodyPr rot="-60000000" spcFirstLastPara="1" vertOverflow="ellipsis" vert="horz" wrap="square" anchor="ctr" anchorCtr="1"/>
          <a:lstStyle/>
          <a:p>
            <a:pPr>
              <a:defRPr sz="900" b="0" i="0" u="none" strike="noStrike" kern="1200" baseline="0">
                <a:solidFill>
                  <a:schemeClr val="accent2">
                    <a:lumMod val="75000"/>
                  </a:schemeClr>
                </a:solidFill>
                <a:latin typeface="Times New Roman" panose="02020603050405020304" pitchFamily="18" charset="0"/>
                <a:ea typeface="+mn-ea"/>
                <a:cs typeface="Times New Roman" panose="02020603050405020304" pitchFamily="18" charset="0"/>
              </a:defRPr>
            </a:pPr>
            <a:endParaRPr lang="en-US"/>
          </a:p>
        </c:txPr>
        <c:crossAx val="904539296"/>
        <c:crosses val="autoZero"/>
        <c:auto val="1"/>
        <c:lblAlgn val="ctr"/>
        <c:lblOffset val="800"/>
        <c:noMultiLvlLbl val="0"/>
      </c:catAx>
      <c:valAx>
        <c:axId val="90453929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solidFill>
                      <a:schemeClr val="tx1">
                        <a:lumMod val="95000"/>
                        <a:lumOff val="5000"/>
                      </a:schemeClr>
                    </a:solidFill>
                    <a:latin typeface="Times New Roman" panose="02020603050405020304" pitchFamily="18" charset="0"/>
                    <a:cs typeface="Times New Roman" panose="02020603050405020304" pitchFamily="18" charset="0"/>
                  </a:rPr>
                  <a:t>Number of established</a:t>
                </a:r>
                <a:r>
                  <a:rPr lang="en-GB" baseline="0">
                    <a:solidFill>
                      <a:schemeClr val="tx1">
                        <a:lumMod val="95000"/>
                        <a:lumOff val="5000"/>
                      </a:schemeClr>
                    </a:solidFill>
                    <a:latin typeface="Times New Roman" panose="02020603050405020304" pitchFamily="18" charset="0"/>
                    <a:cs typeface="Times New Roman" panose="02020603050405020304" pitchFamily="18" charset="0"/>
                  </a:rPr>
                  <a:t> PAs in a quarter century</a:t>
                </a:r>
                <a:endParaRPr lang="en-GB">
                  <a:solidFill>
                    <a:schemeClr val="tx1">
                      <a:lumMod val="95000"/>
                      <a:lumOff val="5000"/>
                    </a:schemeClr>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25400">
            <a:solidFill>
              <a:schemeClr val="accent2">
                <a:lumMod val="60000"/>
                <a:lumOff val="40000"/>
              </a:schemeClr>
            </a:solidFill>
          </a:ln>
          <a:effectLst/>
        </c:spPr>
        <c:txPr>
          <a:bodyPr rot="-60000000" spcFirstLastPara="1" vertOverflow="ellipsis" vert="horz" wrap="square" anchor="ctr" anchorCtr="1"/>
          <a:lstStyle/>
          <a:p>
            <a:pPr>
              <a:defRPr sz="900" b="0" i="0" u="none" strike="noStrike" kern="1200" baseline="0">
                <a:solidFill>
                  <a:schemeClr val="accent2">
                    <a:lumMod val="75000"/>
                  </a:schemeClr>
                </a:solidFill>
                <a:latin typeface="Times New Roman" panose="02020603050405020304" pitchFamily="18" charset="0"/>
                <a:ea typeface="+mn-ea"/>
                <a:cs typeface="Times New Roman" panose="02020603050405020304" pitchFamily="18" charset="0"/>
              </a:defRPr>
            </a:pPr>
            <a:endParaRPr lang="en-US"/>
          </a:p>
        </c:txPr>
        <c:crossAx val="904538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95000"/>
          <a:lumOff val="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rgbClr val="0000FF">
                <a:alpha val="34000"/>
              </a:srgbClr>
            </a:solidFill>
            <a:ln w="12700">
              <a:solidFill>
                <a:srgbClr val="0000FF"/>
              </a:solidFill>
            </a:ln>
            <a:effectLst/>
          </c:spPr>
          <c:invertIfNegative val="0"/>
          <c:errBars>
            <c:errBarType val="plus"/>
            <c:errValType val="cust"/>
            <c:noEndCap val="0"/>
            <c:plus>
              <c:numRef>
                <c:f>'How big'!$G$633:$G$660</c:f>
                <c:numCache>
                  <c:formatCode>General</c:formatCode>
                  <c:ptCount val="28"/>
                  <c:pt idx="0">
                    <c:v>5.4624531872344004</c:v>
                  </c:pt>
                  <c:pt idx="1">
                    <c:v>0.82218534812210486</c:v>
                  </c:pt>
                  <c:pt idx="2">
                    <c:v>0</c:v>
                  </c:pt>
                  <c:pt idx="3">
                    <c:v>1.2708100695138422</c:v>
                  </c:pt>
                  <c:pt idx="4">
                    <c:v>28.614175839520225</c:v>
                  </c:pt>
                  <c:pt idx="5">
                    <c:v>0.5617131183464702</c:v>
                  </c:pt>
                  <c:pt idx="6">
                    <c:v>0</c:v>
                  </c:pt>
                  <c:pt idx="7">
                    <c:v>0.76312580876287972</c:v>
                  </c:pt>
                  <c:pt idx="8">
                    <c:v>0.51409036202104075</c:v>
                  </c:pt>
                  <c:pt idx="9">
                    <c:v>51.951940766749928</c:v>
                  </c:pt>
                  <c:pt idx="10">
                    <c:v>705.00612754919621</c:v>
                  </c:pt>
                  <c:pt idx="11">
                    <c:v>15.262935107311435</c:v>
                  </c:pt>
                  <c:pt idx="12">
                    <c:v>1393.4650330601523</c:v>
                  </c:pt>
                  <c:pt idx="13">
                    <c:v>5.3492627996762305</c:v>
                  </c:pt>
                  <c:pt idx="14">
                    <c:v>173.06887584897186</c:v>
                  </c:pt>
                  <c:pt idx="15">
                    <c:v>19.223201773291226</c:v>
                  </c:pt>
                  <c:pt idx="16">
                    <c:v>111.22822591321014</c:v>
                  </c:pt>
                  <c:pt idx="17">
                    <c:v>0</c:v>
                  </c:pt>
                  <c:pt idx="18">
                    <c:v>17.112935041527962</c:v>
                  </c:pt>
                  <c:pt idx="19">
                    <c:v>2.0916067423264475</c:v>
                  </c:pt>
                  <c:pt idx="20">
                    <c:v>0</c:v>
                  </c:pt>
                  <c:pt idx="21">
                    <c:v>89.764385217710497</c:v>
                  </c:pt>
                  <c:pt idx="22">
                    <c:v>0</c:v>
                  </c:pt>
                  <c:pt idx="23">
                    <c:v>0</c:v>
                  </c:pt>
                  <c:pt idx="24">
                    <c:v>0</c:v>
                  </c:pt>
                  <c:pt idx="25">
                    <c:v>1769.3163686349867</c:v>
                  </c:pt>
                  <c:pt idx="26">
                    <c:v>0</c:v>
                  </c:pt>
                  <c:pt idx="27">
                    <c:v>1691.8213662715013</c:v>
                  </c:pt>
                </c:numCache>
              </c:numRef>
            </c:plus>
            <c:minus>
              <c:numLit>
                <c:formatCode>General</c:formatCode>
                <c:ptCount val="1"/>
                <c:pt idx="0">
                  <c:v>1</c:v>
                </c:pt>
              </c:numLit>
            </c:minus>
            <c:spPr>
              <a:noFill/>
              <a:ln w="15875" cap="flat" cmpd="sng" algn="ctr">
                <a:solidFill>
                  <a:schemeClr val="tx1">
                    <a:lumMod val="65000"/>
                    <a:lumOff val="35000"/>
                  </a:schemeClr>
                </a:solidFill>
                <a:round/>
              </a:ln>
              <a:effectLst/>
            </c:spPr>
          </c:errBars>
          <c:cat>
            <c:strRef>
              <c:f>'How big'!$B$633:$B$660</c:f>
              <c:strCache>
                <c:ptCount val="28"/>
                <c:pt idx="0">
                  <c:v>National Battlefields</c:v>
                </c:pt>
                <c:pt idx="1">
                  <c:v>National Battlefield Parks</c:v>
                </c:pt>
                <c:pt idx="2">
                  <c:v>National Battlefield Sites</c:v>
                </c:pt>
                <c:pt idx="3">
                  <c:v>National Military Parks</c:v>
                </c:pt>
                <c:pt idx="4">
                  <c:v>National Historical Parks</c:v>
                </c:pt>
                <c:pt idx="5">
                  <c:v>National Historic Sites</c:v>
                </c:pt>
                <c:pt idx="6">
                  <c:v>International Historic Sites</c:v>
                </c:pt>
                <c:pt idx="7">
                  <c:v>National Lakeshores</c:v>
                </c:pt>
                <c:pt idx="8">
                  <c:v>National Memorials</c:v>
                </c:pt>
                <c:pt idx="9">
                  <c:v>National Monuments</c:v>
                </c:pt>
                <c:pt idx="10">
                  <c:v>National Parks</c:v>
                </c:pt>
                <c:pt idx="11">
                  <c:v>National Parkways</c:v>
                </c:pt>
                <c:pt idx="12">
                  <c:v>National Preserve</c:v>
                </c:pt>
                <c:pt idx="13">
                  <c:v>National Reserves</c:v>
                </c:pt>
                <c:pt idx="14">
                  <c:v>National Recreation Areas</c:v>
                </c:pt>
                <c:pt idx="15">
                  <c:v>National Rivers</c:v>
                </c:pt>
                <c:pt idx="16">
                  <c:v>National Wild and Scenic Rivers and Riverways</c:v>
                </c:pt>
                <c:pt idx="17">
                  <c:v>National Scenic Trails</c:v>
                </c:pt>
                <c:pt idx="18">
                  <c:v>National Seashores</c:v>
                </c:pt>
                <c:pt idx="19">
                  <c:v>Other Designations</c:v>
                </c:pt>
                <c:pt idx="21">
                  <c:v>Affiliated Areas</c:v>
                </c:pt>
                <c:pt idx="22">
                  <c:v>Authorized Areas</c:v>
                </c:pt>
                <c:pt idx="23">
                  <c:v>Co-Managed Areas</c:v>
                </c:pt>
                <c:pt idx="24">
                  <c:v>Commemorative Sites</c:v>
                </c:pt>
                <c:pt idx="25">
                  <c:v>National Heritage Areas</c:v>
                </c:pt>
                <c:pt idx="26">
                  <c:v>National Trails System</c:v>
                </c:pt>
                <c:pt idx="27">
                  <c:v>National Wild and Scenic Rivers System</c:v>
                </c:pt>
              </c:strCache>
            </c:strRef>
          </c:cat>
          <c:val>
            <c:numRef>
              <c:f>'How big'!$E$633:$E$660</c:f>
              <c:numCache>
                <c:formatCode>0.00</c:formatCode>
                <c:ptCount val="28"/>
                <c:pt idx="0">
                  <c:v>7.1440909090909095</c:v>
                </c:pt>
                <c:pt idx="1">
                  <c:v>8.3940000000000001</c:v>
                </c:pt>
                <c:pt idx="3">
                  <c:v>19.104555555555557</c:v>
                </c:pt>
                <c:pt idx="4">
                  <c:v>64.928459016393447</c:v>
                </c:pt>
                <c:pt idx="5">
                  <c:v>2.0140770270270267</c:v>
                </c:pt>
                <c:pt idx="6">
                  <c:v>0.14199999999999999</c:v>
                </c:pt>
                <c:pt idx="7">
                  <c:v>288.29000000000002</c:v>
                </c:pt>
                <c:pt idx="8">
                  <c:v>1.7613251612903229</c:v>
                </c:pt>
                <c:pt idx="9">
                  <c:v>149.18072619047621</c:v>
                </c:pt>
                <c:pt idx="10">
                  <c:v>3546.2941476190472</c:v>
                </c:pt>
                <c:pt idx="11">
                  <c:v>178.88149999999999</c:v>
                </c:pt>
                <c:pt idx="12">
                  <c:v>11316.468368421052</c:v>
                </c:pt>
                <c:pt idx="13">
                  <c:v>40.414999999999999</c:v>
                </c:pt>
                <c:pt idx="14">
                  <c:v>869.243722222222</c:v>
                </c:pt>
                <c:pt idx="15">
                  <c:v>274.2355</c:v>
                </c:pt>
                <c:pt idx="16">
                  <c:v>478.05670000000009</c:v>
                </c:pt>
                <c:pt idx="17">
                  <c:v>337.238</c:v>
                </c:pt>
                <c:pt idx="18">
                  <c:v>239.404</c:v>
                </c:pt>
                <c:pt idx="19">
                  <c:v>17.241363636363641</c:v>
                </c:pt>
                <c:pt idx="21">
                  <c:v>182.91064800000004</c:v>
                </c:pt>
                <c:pt idx="25">
                  <c:v>11556.931068421054</c:v>
                </c:pt>
                <c:pt idx="27">
                  <c:v>19661.132999999998</c:v>
                </c:pt>
              </c:numCache>
            </c:numRef>
          </c:val>
          <c:extLst>
            <c:ext xmlns:c16="http://schemas.microsoft.com/office/drawing/2014/chart" uri="{C3380CC4-5D6E-409C-BE32-E72D297353CC}">
              <c16:uniqueId val="{00000000-CAAB-406B-9FE8-B75910CC3911}"/>
            </c:ext>
          </c:extLst>
        </c:ser>
        <c:dLbls>
          <c:showLegendKey val="0"/>
          <c:showVal val="0"/>
          <c:showCatName val="0"/>
          <c:showSerName val="0"/>
          <c:showPercent val="0"/>
          <c:showBubbleSize val="0"/>
        </c:dLbls>
        <c:gapWidth val="18"/>
        <c:overlap val="-100"/>
        <c:axId val="392522495"/>
        <c:axId val="392533311"/>
      </c:barChart>
      <c:catAx>
        <c:axId val="392522495"/>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1">
                    <a:solidFill>
                      <a:schemeClr val="tx1"/>
                    </a:solidFill>
                    <a:latin typeface="Times New Roman" panose="02020603050405020304" pitchFamily="18" charset="0"/>
                    <a:cs typeface="Times New Roman" panose="02020603050405020304" pitchFamily="18" charset="0"/>
                  </a:rPr>
                  <a:t>Type of PA</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bg1">
                <a:lumMod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92533311"/>
        <c:crosses val="autoZero"/>
        <c:auto val="1"/>
        <c:lblAlgn val="ctr"/>
        <c:lblOffset val="100"/>
        <c:noMultiLvlLbl val="0"/>
      </c:catAx>
      <c:valAx>
        <c:axId val="39253331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GB" b="1">
                    <a:solidFill>
                      <a:schemeClr val="tx1"/>
                    </a:solidFill>
                    <a:latin typeface="Times New Roman" panose="02020603050405020304" pitchFamily="18" charset="0"/>
                    <a:cs typeface="Times New Roman" panose="02020603050405020304" pitchFamily="18" charset="0"/>
                  </a:rPr>
                  <a:t>Average size [Square km]</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0.00" sourceLinked="1"/>
        <c:majorTickMark val="none"/>
        <c:minorTickMark val="none"/>
        <c:tickLblPos val="nextTo"/>
        <c:spPr>
          <a:noFill/>
          <a:ln w="19050">
            <a:solidFill>
              <a:schemeClr val="bg1">
                <a:lumMod val="75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92522495"/>
        <c:crosses val="autoZero"/>
        <c:crossBetween val="between"/>
        <c:dispUnits>
          <c:builtInUnit val="thousands"/>
          <c:dispUnitsLbl>
            <c:tx>
              <c:rich>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GB" sz="1000" b="1">
                      <a:solidFill>
                        <a:schemeClr val="tx1"/>
                      </a:solidFill>
                      <a:latin typeface="Times New Roman" panose="02020603050405020304" pitchFamily="18" charset="0"/>
                      <a:cs typeface="Times New Roman" panose="02020603050405020304" pitchFamily="18" charset="0"/>
                    </a:rPr>
                    <a:t>Thousands</a:t>
                  </a:r>
                </a:p>
              </c:rich>
            </c:tx>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dispUnitsLbl>
        </c:dispUnits>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213473315835519E-2"/>
          <c:y val="3.9883973894126179E-2"/>
          <c:w val="0.87928225317989095"/>
          <c:h val="0.67549462408569483"/>
        </c:manualLayout>
      </c:layout>
      <c:lineChart>
        <c:grouping val="standard"/>
        <c:varyColors val="0"/>
        <c:ser>
          <c:idx val="0"/>
          <c:order val="0"/>
          <c:tx>
            <c:strRef>
              <c:f>'Graph-Date'!$A$3</c:f>
              <c:strCache>
                <c:ptCount val="1"/>
                <c:pt idx="0">
                  <c:v>National Battlefields</c:v>
                </c:pt>
              </c:strCache>
            </c:strRef>
          </c:tx>
          <c:spPr>
            <a:ln w="9525" cap="rnd">
              <a:solidFill>
                <a:schemeClr val="accent6">
                  <a:lumMod val="50000"/>
                </a:schemeClr>
              </a:solidFill>
              <a:round/>
            </a:ln>
            <a:effectLst/>
          </c:spPr>
          <c:marker>
            <c:symbol val="none"/>
          </c:marker>
          <c:cat>
            <c:strRef>
              <c:f>'Graph-Date'!$B$2:$G$2</c:f>
              <c:strCache>
                <c:ptCount val="6"/>
                <c:pt idx="0">
                  <c:v>1872-1900</c:v>
                </c:pt>
                <c:pt idx="1">
                  <c:v>1901-1925</c:v>
                </c:pt>
                <c:pt idx="2">
                  <c:v>1926-1950</c:v>
                </c:pt>
                <c:pt idx="3">
                  <c:v>1951-1975</c:v>
                </c:pt>
                <c:pt idx="4">
                  <c:v>1976-2000</c:v>
                </c:pt>
                <c:pt idx="5">
                  <c:v>2001-2022</c:v>
                </c:pt>
              </c:strCache>
            </c:strRef>
          </c:cat>
          <c:val>
            <c:numRef>
              <c:f>'Graph-Date'!$B$3:$G$3</c:f>
              <c:numCache>
                <c:formatCode>General</c:formatCode>
                <c:ptCount val="6"/>
                <c:pt idx="0">
                  <c:v>1</c:v>
                </c:pt>
                <c:pt idx="1">
                  <c:v>0</c:v>
                </c:pt>
                <c:pt idx="2">
                  <c:v>8</c:v>
                </c:pt>
                <c:pt idx="3">
                  <c:v>2</c:v>
                </c:pt>
                <c:pt idx="4">
                  <c:v>0</c:v>
                </c:pt>
                <c:pt idx="5">
                  <c:v>0</c:v>
                </c:pt>
              </c:numCache>
            </c:numRef>
          </c:val>
          <c:smooth val="1"/>
          <c:extLst>
            <c:ext xmlns:c16="http://schemas.microsoft.com/office/drawing/2014/chart" uri="{C3380CC4-5D6E-409C-BE32-E72D297353CC}">
              <c16:uniqueId val="{00000000-928F-476F-AA97-5DF910E95796}"/>
            </c:ext>
          </c:extLst>
        </c:ser>
        <c:ser>
          <c:idx val="1"/>
          <c:order val="1"/>
          <c:tx>
            <c:strRef>
              <c:f>'Graph-Date'!$A$4</c:f>
              <c:strCache>
                <c:ptCount val="1"/>
                <c:pt idx="0">
                  <c:v>National Battlefield Parks</c:v>
                </c:pt>
              </c:strCache>
            </c:strRef>
          </c:tx>
          <c:spPr>
            <a:ln w="9525" cap="rnd">
              <a:solidFill>
                <a:schemeClr val="accent2">
                  <a:alpha val="50000"/>
                </a:schemeClr>
              </a:solidFill>
              <a:round/>
            </a:ln>
            <a:effectLst/>
          </c:spPr>
          <c:marker>
            <c:symbol val="none"/>
          </c:marker>
          <c:val>
            <c:numRef>
              <c:f>'Graph-Date'!$B$4:$G$4</c:f>
              <c:numCache>
                <c:formatCode>General</c:formatCode>
                <c:ptCount val="6"/>
                <c:pt idx="0">
                  <c:v>0</c:v>
                </c:pt>
                <c:pt idx="1">
                  <c:v>1</c:v>
                </c:pt>
                <c:pt idx="2">
                  <c:v>2</c:v>
                </c:pt>
                <c:pt idx="3">
                  <c:v>1</c:v>
                </c:pt>
                <c:pt idx="4">
                  <c:v>0</c:v>
                </c:pt>
                <c:pt idx="5">
                  <c:v>0</c:v>
                </c:pt>
              </c:numCache>
            </c:numRef>
          </c:val>
          <c:smooth val="1"/>
          <c:extLst>
            <c:ext xmlns:c16="http://schemas.microsoft.com/office/drawing/2014/chart" uri="{C3380CC4-5D6E-409C-BE32-E72D297353CC}">
              <c16:uniqueId val="{00000001-928F-476F-AA97-5DF910E95796}"/>
            </c:ext>
          </c:extLst>
        </c:ser>
        <c:ser>
          <c:idx val="2"/>
          <c:order val="2"/>
          <c:tx>
            <c:strRef>
              <c:f>'Graph-Date'!$A$5</c:f>
              <c:strCache>
                <c:ptCount val="1"/>
                <c:pt idx="0">
                  <c:v>National Battlefield Sites</c:v>
                </c:pt>
              </c:strCache>
            </c:strRef>
          </c:tx>
          <c:spPr>
            <a:ln w="9525" cap="rnd">
              <a:solidFill>
                <a:schemeClr val="accent3">
                  <a:alpha val="50000"/>
                </a:schemeClr>
              </a:solidFill>
              <a:round/>
            </a:ln>
            <a:effectLst/>
          </c:spPr>
          <c:marker>
            <c:symbol val="none"/>
          </c:marker>
          <c:val>
            <c:numRef>
              <c:f>'Graph-Date'!$B$5:$G$5</c:f>
              <c:numCache>
                <c:formatCode>General</c:formatCode>
                <c:ptCount val="6"/>
                <c:pt idx="0">
                  <c:v>0</c:v>
                </c:pt>
                <c:pt idx="1">
                  <c:v>0</c:v>
                </c:pt>
                <c:pt idx="2">
                  <c:v>1</c:v>
                </c:pt>
                <c:pt idx="3">
                  <c:v>0</c:v>
                </c:pt>
                <c:pt idx="4">
                  <c:v>0</c:v>
                </c:pt>
                <c:pt idx="5">
                  <c:v>0</c:v>
                </c:pt>
              </c:numCache>
            </c:numRef>
          </c:val>
          <c:smooth val="1"/>
          <c:extLst>
            <c:ext xmlns:c16="http://schemas.microsoft.com/office/drawing/2014/chart" uri="{C3380CC4-5D6E-409C-BE32-E72D297353CC}">
              <c16:uniqueId val="{00000002-928F-476F-AA97-5DF910E95796}"/>
            </c:ext>
          </c:extLst>
        </c:ser>
        <c:ser>
          <c:idx val="3"/>
          <c:order val="3"/>
          <c:tx>
            <c:strRef>
              <c:f>'Graph-Date'!$A$6</c:f>
              <c:strCache>
                <c:ptCount val="1"/>
                <c:pt idx="0">
                  <c:v>National Military Parks</c:v>
                </c:pt>
              </c:strCache>
            </c:strRef>
          </c:tx>
          <c:spPr>
            <a:ln w="12700" cap="rnd">
              <a:solidFill>
                <a:srgbClr val="0000FF"/>
              </a:solidFill>
              <a:round/>
            </a:ln>
            <a:effectLst/>
          </c:spPr>
          <c:marker>
            <c:symbol val="none"/>
          </c:marker>
          <c:val>
            <c:numRef>
              <c:f>'Graph-Date'!$B$6:$G$6</c:f>
              <c:numCache>
                <c:formatCode>General</c:formatCode>
                <c:ptCount val="6"/>
                <c:pt idx="0">
                  <c:v>4</c:v>
                </c:pt>
                <c:pt idx="1">
                  <c:v>1</c:v>
                </c:pt>
                <c:pt idx="2">
                  <c:v>2</c:v>
                </c:pt>
                <c:pt idx="3">
                  <c:v>2</c:v>
                </c:pt>
                <c:pt idx="4">
                  <c:v>0</c:v>
                </c:pt>
                <c:pt idx="5">
                  <c:v>0</c:v>
                </c:pt>
              </c:numCache>
            </c:numRef>
          </c:val>
          <c:smooth val="1"/>
          <c:extLst>
            <c:ext xmlns:c16="http://schemas.microsoft.com/office/drawing/2014/chart" uri="{C3380CC4-5D6E-409C-BE32-E72D297353CC}">
              <c16:uniqueId val="{00000003-928F-476F-AA97-5DF910E95796}"/>
            </c:ext>
          </c:extLst>
        </c:ser>
        <c:ser>
          <c:idx val="4"/>
          <c:order val="4"/>
          <c:tx>
            <c:strRef>
              <c:f>'Graph-Date'!$A$7</c:f>
              <c:strCache>
                <c:ptCount val="1"/>
                <c:pt idx="0">
                  <c:v>National Historical Parks</c:v>
                </c:pt>
              </c:strCache>
            </c:strRef>
          </c:tx>
          <c:spPr>
            <a:ln w="9525" cap="rnd">
              <a:solidFill>
                <a:srgbClr val="FF99FF"/>
              </a:solidFill>
              <a:round/>
            </a:ln>
            <a:effectLst/>
          </c:spPr>
          <c:marker>
            <c:symbol val="none"/>
          </c:marker>
          <c:val>
            <c:numRef>
              <c:f>'Graph-Date'!$B$7:$G$7</c:f>
              <c:numCache>
                <c:formatCode>General</c:formatCode>
                <c:ptCount val="6"/>
                <c:pt idx="0">
                  <c:v>0</c:v>
                </c:pt>
                <c:pt idx="1">
                  <c:v>5</c:v>
                </c:pt>
                <c:pt idx="2">
                  <c:v>11</c:v>
                </c:pt>
                <c:pt idx="3">
                  <c:v>13</c:v>
                </c:pt>
                <c:pt idx="4">
                  <c:v>23</c:v>
                </c:pt>
                <c:pt idx="5">
                  <c:v>9</c:v>
                </c:pt>
              </c:numCache>
            </c:numRef>
          </c:val>
          <c:smooth val="1"/>
          <c:extLst>
            <c:ext xmlns:c16="http://schemas.microsoft.com/office/drawing/2014/chart" uri="{C3380CC4-5D6E-409C-BE32-E72D297353CC}">
              <c16:uniqueId val="{00000004-928F-476F-AA97-5DF910E95796}"/>
            </c:ext>
          </c:extLst>
        </c:ser>
        <c:ser>
          <c:idx val="5"/>
          <c:order val="5"/>
          <c:tx>
            <c:strRef>
              <c:f>'Graph-Date'!$A$8</c:f>
              <c:strCache>
                <c:ptCount val="1"/>
                <c:pt idx="0">
                  <c:v>National Historic Sites</c:v>
                </c:pt>
              </c:strCache>
            </c:strRef>
          </c:tx>
          <c:spPr>
            <a:ln w="9525" cap="rnd">
              <a:solidFill>
                <a:srgbClr val="00B050"/>
              </a:solidFill>
              <a:round/>
            </a:ln>
            <a:effectLst/>
          </c:spPr>
          <c:marker>
            <c:symbol val="none"/>
          </c:marker>
          <c:val>
            <c:numRef>
              <c:f>'Graph-Date'!$B$8:$G$8</c:f>
              <c:numCache>
                <c:formatCode>General</c:formatCode>
                <c:ptCount val="6"/>
                <c:pt idx="0">
                  <c:v>1</c:v>
                </c:pt>
                <c:pt idx="1">
                  <c:v>0</c:v>
                </c:pt>
                <c:pt idx="2">
                  <c:v>11</c:v>
                </c:pt>
                <c:pt idx="3">
                  <c:v>34</c:v>
                </c:pt>
                <c:pt idx="4">
                  <c:v>23</c:v>
                </c:pt>
                <c:pt idx="5">
                  <c:v>5</c:v>
                </c:pt>
              </c:numCache>
            </c:numRef>
          </c:val>
          <c:smooth val="1"/>
          <c:extLst>
            <c:ext xmlns:c16="http://schemas.microsoft.com/office/drawing/2014/chart" uri="{C3380CC4-5D6E-409C-BE32-E72D297353CC}">
              <c16:uniqueId val="{00000005-928F-476F-AA97-5DF910E95796}"/>
            </c:ext>
          </c:extLst>
        </c:ser>
        <c:ser>
          <c:idx val="6"/>
          <c:order val="6"/>
          <c:tx>
            <c:strRef>
              <c:f>'Graph-Date'!$A$9</c:f>
              <c:strCache>
                <c:ptCount val="1"/>
                <c:pt idx="0">
                  <c:v>International Historic Sites</c:v>
                </c:pt>
              </c:strCache>
            </c:strRef>
          </c:tx>
          <c:spPr>
            <a:ln w="9525" cap="rnd">
              <a:solidFill>
                <a:srgbClr val="C00000"/>
              </a:solidFill>
              <a:round/>
            </a:ln>
            <a:effectLst/>
          </c:spPr>
          <c:marker>
            <c:symbol val="none"/>
          </c:marker>
          <c:val>
            <c:numRef>
              <c:f>'Graph-Date'!$B$9:$G$9</c:f>
              <c:numCache>
                <c:formatCode>General</c:formatCode>
                <c:ptCount val="6"/>
                <c:pt idx="0">
                  <c:v>0</c:v>
                </c:pt>
                <c:pt idx="1">
                  <c:v>0</c:v>
                </c:pt>
                <c:pt idx="2">
                  <c:v>1</c:v>
                </c:pt>
                <c:pt idx="3">
                  <c:v>0</c:v>
                </c:pt>
                <c:pt idx="4">
                  <c:v>0</c:v>
                </c:pt>
                <c:pt idx="5">
                  <c:v>0</c:v>
                </c:pt>
              </c:numCache>
            </c:numRef>
          </c:val>
          <c:smooth val="1"/>
          <c:extLst>
            <c:ext xmlns:c16="http://schemas.microsoft.com/office/drawing/2014/chart" uri="{C3380CC4-5D6E-409C-BE32-E72D297353CC}">
              <c16:uniqueId val="{00000006-928F-476F-AA97-5DF910E95796}"/>
            </c:ext>
          </c:extLst>
        </c:ser>
        <c:ser>
          <c:idx val="7"/>
          <c:order val="7"/>
          <c:tx>
            <c:strRef>
              <c:f>'Graph-Date'!$A$10</c:f>
              <c:strCache>
                <c:ptCount val="1"/>
                <c:pt idx="0">
                  <c:v>National Lakeshores</c:v>
                </c:pt>
              </c:strCache>
            </c:strRef>
          </c:tx>
          <c:spPr>
            <a:ln w="15875" cap="rnd">
              <a:solidFill>
                <a:schemeClr val="bg2">
                  <a:lumMod val="90000"/>
                </a:schemeClr>
              </a:solidFill>
              <a:round/>
            </a:ln>
            <a:effectLst/>
          </c:spPr>
          <c:marker>
            <c:symbol val="none"/>
          </c:marker>
          <c:val>
            <c:numRef>
              <c:f>'Graph-Date'!$B$10:$G$10</c:f>
              <c:numCache>
                <c:formatCode>General</c:formatCode>
                <c:ptCount val="6"/>
                <c:pt idx="0">
                  <c:v>0</c:v>
                </c:pt>
                <c:pt idx="1">
                  <c:v>0</c:v>
                </c:pt>
                <c:pt idx="2">
                  <c:v>0</c:v>
                </c:pt>
                <c:pt idx="3">
                  <c:v>3</c:v>
                </c:pt>
                <c:pt idx="4">
                  <c:v>0</c:v>
                </c:pt>
                <c:pt idx="5">
                  <c:v>0</c:v>
                </c:pt>
              </c:numCache>
            </c:numRef>
          </c:val>
          <c:smooth val="1"/>
          <c:extLst>
            <c:ext xmlns:c16="http://schemas.microsoft.com/office/drawing/2014/chart" uri="{C3380CC4-5D6E-409C-BE32-E72D297353CC}">
              <c16:uniqueId val="{00000007-928F-476F-AA97-5DF910E95796}"/>
            </c:ext>
          </c:extLst>
        </c:ser>
        <c:ser>
          <c:idx val="8"/>
          <c:order val="8"/>
          <c:tx>
            <c:strRef>
              <c:f>'Graph-Date'!$A$11</c:f>
              <c:strCache>
                <c:ptCount val="1"/>
                <c:pt idx="0">
                  <c:v>National Memorials</c:v>
                </c:pt>
              </c:strCache>
            </c:strRef>
          </c:tx>
          <c:spPr>
            <a:ln w="9525" cap="rnd">
              <a:solidFill>
                <a:srgbClr val="7030A0"/>
              </a:solidFill>
              <a:round/>
            </a:ln>
            <a:effectLst/>
          </c:spPr>
          <c:marker>
            <c:symbol val="none"/>
          </c:marker>
          <c:val>
            <c:numRef>
              <c:f>'Graph-Date'!$B$11:$G$11</c:f>
              <c:numCache>
                <c:formatCode>General</c:formatCode>
                <c:ptCount val="6"/>
                <c:pt idx="0">
                  <c:v>1</c:v>
                </c:pt>
                <c:pt idx="1">
                  <c:v>4</c:v>
                </c:pt>
                <c:pt idx="2">
                  <c:v>5</c:v>
                </c:pt>
                <c:pt idx="3">
                  <c:v>12</c:v>
                </c:pt>
                <c:pt idx="4">
                  <c:v>5</c:v>
                </c:pt>
                <c:pt idx="5">
                  <c:v>4</c:v>
                </c:pt>
              </c:numCache>
            </c:numRef>
          </c:val>
          <c:smooth val="1"/>
          <c:extLst>
            <c:ext xmlns:c16="http://schemas.microsoft.com/office/drawing/2014/chart" uri="{C3380CC4-5D6E-409C-BE32-E72D297353CC}">
              <c16:uniqueId val="{00000008-928F-476F-AA97-5DF910E95796}"/>
            </c:ext>
          </c:extLst>
        </c:ser>
        <c:ser>
          <c:idx val="9"/>
          <c:order val="9"/>
          <c:tx>
            <c:strRef>
              <c:f>'Graph-Date'!$A$12</c:f>
              <c:strCache>
                <c:ptCount val="1"/>
                <c:pt idx="0">
                  <c:v>National Monuments</c:v>
                </c:pt>
              </c:strCache>
            </c:strRef>
          </c:tx>
          <c:spPr>
            <a:ln w="9525" cap="rnd">
              <a:solidFill>
                <a:srgbClr val="FF0000"/>
              </a:solidFill>
              <a:round/>
            </a:ln>
            <a:effectLst/>
          </c:spPr>
          <c:marker>
            <c:symbol val="none"/>
          </c:marker>
          <c:val>
            <c:numRef>
              <c:f>'Graph-Date'!$B$12:$G$12</c:f>
              <c:numCache>
                <c:formatCode>General</c:formatCode>
                <c:ptCount val="6"/>
                <c:pt idx="0">
                  <c:v>1</c:v>
                </c:pt>
                <c:pt idx="1">
                  <c:v>32</c:v>
                </c:pt>
                <c:pt idx="2">
                  <c:v>12</c:v>
                </c:pt>
                <c:pt idx="3">
                  <c:v>12</c:v>
                </c:pt>
                <c:pt idx="4">
                  <c:v>8</c:v>
                </c:pt>
                <c:pt idx="5">
                  <c:v>19</c:v>
                </c:pt>
              </c:numCache>
            </c:numRef>
          </c:val>
          <c:smooth val="1"/>
          <c:extLst>
            <c:ext xmlns:c16="http://schemas.microsoft.com/office/drawing/2014/chart" uri="{C3380CC4-5D6E-409C-BE32-E72D297353CC}">
              <c16:uniqueId val="{00000009-928F-476F-AA97-5DF910E95796}"/>
            </c:ext>
          </c:extLst>
        </c:ser>
        <c:ser>
          <c:idx val="10"/>
          <c:order val="10"/>
          <c:tx>
            <c:strRef>
              <c:f>'Graph-Date'!$A$13</c:f>
              <c:strCache>
                <c:ptCount val="1"/>
                <c:pt idx="0">
                  <c:v>National Parks</c:v>
                </c:pt>
              </c:strCache>
            </c:strRef>
          </c:tx>
          <c:spPr>
            <a:ln w="9525" cap="rnd">
              <a:solidFill>
                <a:srgbClr val="00B0F0"/>
              </a:solidFill>
              <a:round/>
            </a:ln>
            <a:effectLst/>
          </c:spPr>
          <c:marker>
            <c:symbol val="none"/>
          </c:marker>
          <c:val>
            <c:numRef>
              <c:f>'Graph-Date'!$B$13:$G$13</c:f>
              <c:numCache>
                <c:formatCode>General</c:formatCode>
                <c:ptCount val="6"/>
                <c:pt idx="0">
                  <c:v>4</c:v>
                </c:pt>
                <c:pt idx="1">
                  <c:v>12</c:v>
                </c:pt>
                <c:pt idx="2">
                  <c:v>15</c:v>
                </c:pt>
                <c:pt idx="3">
                  <c:v>10</c:v>
                </c:pt>
                <c:pt idx="4">
                  <c:v>17</c:v>
                </c:pt>
                <c:pt idx="5">
                  <c:v>5</c:v>
                </c:pt>
              </c:numCache>
            </c:numRef>
          </c:val>
          <c:smooth val="1"/>
          <c:extLst>
            <c:ext xmlns:c16="http://schemas.microsoft.com/office/drawing/2014/chart" uri="{C3380CC4-5D6E-409C-BE32-E72D297353CC}">
              <c16:uniqueId val="{0000000A-928F-476F-AA97-5DF910E95796}"/>
            </c:ext>
          </c:extLst>
        </c:ser>
        <c:ser>
          <c:idx val="11"/>
          <c:order val="11"/>
          <c:tx>
            <c:strRef>
              <c:f>'Graph-Date'!$A$14</c:f>
              <c:strCache>
                <c:ptCount val="1"/>
                <c:pt idx="0">
                  <c:v>National Parkways</c:v>
                </c:pt>
              </c:strCache>
            </c:strRef>
          </c:tx>
          <c:spPr>
            <a:ln w="15875" cap="rnd">
              <a:solidFill>
                <a:srgbClr val="666699"/>
              </a:solidFill>
              <a:round/>
            </a:ln>
            <a:effectLst/>
          </c:spPr>
          <c:marker>
            <c:symbol val="none"/>
          </c:marker>
          <c:val>
            <c:numRef>
              <c:f>'Graph-Date'!$B$14:$G$14</c:f>
              <c:numCache>
                <c:formatCode>General</c:formatCode>
                <c:ptCount val="6"/>
                <c:pt idx="0">
                  <c:v>0</c:v>
                </c:pt>
                <c:pt idx="1">
                  <c:v>0</c:v>
                </c:pt>
                <c:pt idx="2">
                  <c:v>3</c:v>
                </c:pt>
                <c:pt idx="3">
                  <c:v>1</c:v>
                </c:pt>
                <c:pt idx="4">
                  <c:v>0</c:v>
                </c:pt>
                <c:pt idx="5">
                  <c:v>0</c:v>
                </c:pt>
              </c:numCache>
            </c:numRef>
          </c:val>
          <c:smooth val="1"/>
          <c:extLst>
            <c:ext xmlns:c16="http://schemas.microsoft.com/office/drawing/2014/chart" uri="{C3380CC4-5D6E-409C-BE32-E72D297353CC}">
              <c16:uniqueId val="{0000000B-928F-476F-AA97-5DF910E95796}"/>
            </c:ext>
          </c:extLst>
        </c:ser>
        <c:ser>
          <c:idx val="12"/>
          <c:order val="12"/>
          <c:tx>
            <c:strRef>
              <c:f>'Graph-Date'!$A$15</c:f>
              <c:strCache>
                <c:ptCount val="1"/>
                <c:pt idx="0">
                  <c:v>National Preserve</c:v>
                </c:pt>
              </c:strCache>
            </c:strRef>
          </c:tx>
          <c:spPr>
            <a:ln w="9525" cap="rnd">
              <a:solidFill>
                <a:srgbClr val="00FF00"/>
              </a:solidFill>
              <a:round/>
            </a:ln>
            <a:effectLst/>
          </c:spPr>
          <c:marker>
            <c:symbol val="none"/>
          </c:marker>
          <c:val>
            <c:numRef>
              <c:f>'Graph-Date'!$B$15:$G$15</c:f>
              <c:numCache>
                <c:formatCode>General</c:formatCode>
                <c:ptCount val="6"/>
                <c:pt idx="0">
                  <c:v>0</c:v>
                </c:pt>
                <c:pt idx="1">
                  <c:v>3</c:v>
                </c:pt>
                <c:pt idx="2">
                  <c:v>1</c:v>
                </c:pt>
                <c:pt idx="3">
                  <c:v>2</c:v>
                </c:pt>
                <c:pt idx="4">
                  <c:v>13</c:v>
                </c:pt>
                <c:pt idx="5">
                  <c:v>0</c:v>
                </c:pt>
              </c:numCache>
            </c:numRef>
          </c:val>
          <c:smooth val="1"/>
          <c:extLst>
            <c:ext xmlns:c16="http://schemas.microsoft.com/office/drawing/2014/chart" uri="{C3380CC4-5D6E-409C-BE32-E72D297353CC}">
              <c16:uniqueId val="{0000000C-928F-476F-AA97-5DF910E95796}"/>
            </c:ext>
          </c:extLst>
        </c:ser>
        <c:ser>
          <c:idx val="13"/>
          <c:order val="13"/>
          <c:tx>
            <c:strRef>
              <c:f>'Graph-Date'!$A$16</c:f>
              <c:strCache>
                <c:ptCount val="1"/>
                <c:pt idx="0">
                  <c:v>National Reserves</c:v>
                </c:pt>
              </c:strCache>
            </c:strRef>
          </c:tx>
          <c:spPr>
            <a:ln w="9525" cap="rnd">
              <a:solidFill>
                <a:schemeClr val="accent2">
                  <a:lumMod val="80000"/>
                  <a:lumOff val="20000"/>
                  <a:alpha val="50000"/>
                </a:schemeClr>
              </a:solidFill>
              <a:round/>
            </a:ln>
            <a:effectLst/>
          </c:spPr>
          <c:marker>
            <c:symbol val="none"/>
          </c:marker>
          <c:val>
            <c:numRef>
              <c:f>'Graph-Date'!$B$16:$G$16</c:f>
              <c:numCache>
                <c:formatCode>General</c:formatCode>
                <c:ptCount val="6"/>
                <c:pt idx="0">
                  <c:v>0</c:v>
                </c:pt>
                <c:pt idx="1">
                  <c:v>0</c:v>
                </c:pt>
                <c:pt idx="2">
                  <c:v>0</c:v>
                </c:pt>
                <c:pt idx="3">
                  <c:v>0</c:v>
                </c:pt>
                <c:pt idx="4">
                  <c:v>2</c:v>
                </c:pt>
                <c:pt idx="5">
                  <c:v>0</c:v>
                </c:pt>
              </c:numCache>
            </c:numRef>
          </c:val>
          <c:smooth val="1"/>
          <c:extLst>
            <c:ext xmlns:c16="http://schemas.microsoft.com/office/drawing/2014/chart" uri="{C3380CC4-5D6E-409C-BE32-E72D297353CC}">
              <c16:uniqueId val="{0000000D-928F-476F-AA97-5DF910E95796}"/>
            </c:ext>
          </c:extLst>
        </c:ser>
        <c:ser>
          <c:idx val="14"/>
          <c:order val="14"/>
          <c:tx>
            <c:strRef>
              <c:f>'Graph-Date'!$A$17</c:f>
              <c:strCache>
                <c:ptCount val="1"/>
                <c:pt idx="0">
                  <c:v>National Recreation Areas</c:v>
                </c:pt>
              </c:strCache>
            </c:strRef>
          </c:tx>
          <c:spPr>
            <a:ln w="9525" cap="rnd">
              <a:solidFill>
                <a:schemeClr val="tx1">
                  <a:lumMod val="95000"/>
                  <a:lumOff val="5000"/>
                </a:schemeClr>
              </a:solidFill>
              <a:round/>
            </a:ln>
            <a:effectLst/>
          </c:spPr>
          <c:marker>
            <c:symbol val="none"/>
          </c:marker>
          <c:val>
            <c:numRef>
              <c:f>'Graph-Date'!$B$17:$G$17</c:f>
              <c:numCache>
                <c:formatCode>General</c:formatCode>
                <c:ptCount val="6"/>
                <c:pt idx="0">
                  <c:v>0</c:v>
                </c:pt>
                <c:pt idx="1">
                  <c:v>1</c:v>
                </c:pt>
                <c:pt idx="2">
                  <c:v>2</c:v>
                </c:pt>
                <c:pt idx="3">
                  <c:v>10</c:v>
                </c:pt>
                <c:pt idx="4">
                  <c:v>5</c:v>
                </c:pt>
                <c:pt idx="5">
                  <c:v>0</c:v>
                </c:pt>
              </c:numCache>
            </c:numRef>
          </c:val>
          <c:smooth val="1"/>
          <c:extLst>
            <c:ext xmlns:c16="http://schemas.microsoft.com/office/drawing/2014/chart" uri="{C3380CC4-5D6E-409C-BE32-E72D297353CC}">
              <c16:uniqueId val="{0000000E-928F-476F-AA97-5DF910E95796}"/>
            </c:ext>
          </c:extLst>
        </c:ser>
        <c:ser>
          <c:idx val="15"/>
          <c:order val="15"/>
          <c:tx>
            <c:strRef>
              <c:f>'Graph-Date'!$A$18</c:f>
              <c:strCache>
                <c:ptCount val="1"/>
                <c:pt idx="0">
                  <c:v>National Rivers</c:v>
                </c:pt>
              </c:strCache>
            </c:strRef>
          </c:tx>
          <c:spPr>
            <a:ln w="9525" cap="rnd">
              <a:solidFill>
                <a:srgbClr val="808000"/>
              </a:solidFill>
              <a:round/>
            </a:ln>
            <a:effectLst/>
          </c:spPr>
          <c:marker>
            <c:symbol val="none"/>
          </c:marker>
          <c:val>
            <c:numRef>
              <c:f>'Graph-Date'!$B$18:$G$18</c:f>
              <c:numCache>
                <c:formatCode>General</c:formatCode>
                <c:ptCount val="6"/>
                <c:pt idx="0">
                  <c:v>0</c:v>
                </c:pt>
                <c:pt idx="1">
                  <c:v>0</c:v>
                </c:pt>
                <c:pt idx="2">
                  <c:v>0</c:v>
                </c:pt>
                <c:pt idx="3">
                  <c:v>3</c:v>
                </c:pt>
                <c:pt idx="4">
                  <c:v>1</c:v>
                </c:pt>
                <c:pt idx="5">
                  <c:v>0</c:v>
                </c:pt>
              </c:numCache>
            </c:numRef>
          </c:val>
          <c:smooth val="1"/>
          <c:extLst>
            <c:ext xmlns:c16="http://schemas.microsoft.com/office/drawing/2014/chart" uri="{C3380CC4-5D6E-409C-BE32-E72D297353CC}">
              <c16:uniqueId val="{0000000F-928F-476F-AA97-5DF910E95796}"/>
            </c:ext>
          </c:extLst>
        </c:ser>
        <c:ser>
          <c:idx val="16"/>
          <c:order val="16"/>
          <c:tx>
            <c:strRef>
              <c:f>'Graph-Date'!$A$19</c:f>
              <c:strCache>
                <c:ptCount val="1"/>
                <c:pt idx="0">
                  <c:v>National Wild and Scenic Rivers and Riverways</c:v>
                </c:pt>
              </c:strCache>
            </c:strRef>
          </c:tx>
          <c:spPr>
            <a:ln w="9525" cap="rnd">
              <a:solidFill>
                <a:schemeClr val="accent5">
                  <a:lumMod val="75000"/>
                </a:schemeClr>
              </a:solidFill>
              <a:round/>
            </a:ln>
            <a:effectLst/>
          </c:spPr>
          <c:marker>
            <c:symbol val="none"/>
          </c:marker>
          <c:val>
            <c:numRef>
              <c:f>'Graph-Date'!$B$19:$G$19</c:f>
              <c:numCache>
                <c:formatCode>General</c:formatCode>
                <c:ptCount val="6"/>
                <c:pt idx="0">
                  <c:v>0</c:v>
                </c:pt>
                <c:pt idx="1">
                  <c:v>0</c:v>
                </c:pt>
                <c:pt idx="2">
                  <c:v>0</c:v>
                </c:pt>
                <c:pt idx="3">
                  <c:v>2</c:v>
                </c:pt>
                <c:pt idx="4">
                  <c:v>8</c:v>
                </c:pt>
                <c:pt idx="5">
                  <c:v>0</c:v>
                </c:pt>
              </c:numCache>
            </c:numRef>
          </c:val>
          <c:smooth val="1"/>
          <c:extLst>
            <c:ext xmlns:c16="http://schemas.microsoft.com/office/drawing/2014/chart" uri="{C3380CC4-5D6E-409C-BE32-E72D297353CC}">
              <c16:uniqueId val="{00000010-928F-476F-AA97-5DF910E95796}"/>
            </c:ext>
          </c:extLst>
        </c:ser>
        <c:ser>
          <c:idx val="17"/>
          <c:order val="17"/>
          <c:tx>
            <c:strRef>
              <c:f>'Graph-Date'!$A$20</c:f>
              <c:strCache>
                <c:ptCount val="1"/>
                <c:pt idx="0">
                  <c:v>National Scenic Trails</c:v>
                </c:pt>
              </c:strCache>
            </c:strRef>
          </c:tx>
          <c:spPr>
            <a:ln w="9525" cap="rnd">
              <a:solidFill>
                <a:srgbClr val="66FFFF"/>
              </a:solidFill>
              <a:round/>
            </a:ln>
            <a:effectLst/>
          </c:spPr>
          <c:marker>
            <c:symbol val="none"/>
          </c:marker>
          <c:val>
            <c:numRef>
              <c:f>'Graph-Date'!$B$20:$G$20</c:f>
              <c:numCache>
                <c:formatCode>General</c:formatCode>
                <c:ptCount val="6"/>
                <c:pt idx="0">
                  <c:v>0</c:v>
                </c:pt>
                <c:pt idx="1">
                  <c:v>0</c:v>
                </c:pt>
                <c:pt idx="2">
                  <c:v>1</c:v>
                </c:pt>
                <c:pt idx="3">
                  <c:v>0</c:v>
                </c:pt>
                <c:pt idx="4">
                  <c:v>2</c:v>
                </c:pt>
                <c:pt idx="5">
                  <c:v>0</c:v>
                </c:pt>
              </c:numCache>
            </c:numRef>
          </c:val>
          <c:smooth val="1"/>
          <c:extLst>
            <c:ext xmlns:c16="http://schemas.microsoft.com/office/drawing/2014/chart" uri="{C3380CC4-5D6E-409C-BE32-E72D297353CC}">
              <c16:uniqueId val="{00000011-928F-476F-AA97-5DF910E95796}"/>
            </c:ext>
          </c:extLst>
        </c:ser>
        <c:ser>
          <c:idx val="18"/>
          <c:order val="18"/>
          <c:tx>
            <c:strRef>
              <c:f>'Graph-Date'!$A$21</c:f>
              <c:strCache>
                <c:ptCount val="1"/>
                <c:pt idx="0">
                  <c:v>National Seashores</c:v>
                </c:pt>
              </c:strCache>
            </c:strRef>
          </c:tx>
          <c:spPr>
            <a:ln w="9525" cap="rnd">
              <a:solidFill>
                <a:srgbClr val="008080"/>
              </a:solidFill>
              <a:round/>
            </a:ln>
            <a:effectLst/>
          </c:spPr>
          <c:marker>
            <c:symbol val="none"/>
          </c:marker>
          <c:dPt>
            <c:idx val="3"/>
            <c:marker>
              <c:symbol val="none"/>
            </c:marker>
            <c:bubble3D val="0"/>
            <c:extLst>
              <c:ext xmlns:c16="http://schemas.microsoft.com/office/drawing/2014/chart" uri="{C3380CC4-5D6E-409C-BE32-E72D297353CC}">
                <c16:uniqueId val="{00000012-928F-476F-AA97-5DF910E95796}"/>
              </c:ext>
            </c:extLst>
          </c:dPt>
          <c:val>
            <c:numRef>
              <c:f>'Graph-Date'!$B$21:$G$21</c:f>
              <c:numCache>
                <c:formatCode>General</c:formatCode>
                <c:ptCount val="6"/>
                <c:pt idx="0">
                  <c:v>0</c:v>
                </c:pt>
                <c:pt idx="1">
                  <c:v>0</c:v>
                </c:pt>
                <c:pt idx="2">
                  <c:v>0</c:v>
                </c:pt>
                <c:pt idx="3">
                  <c:v>10</c:v>
                </c:pt>
                <c:pt idx="4">
                  <c:v>0</c:v>
                </c:pt>
                <c:pt idx="5">
                  <c:v>0</c:v>
                </c:pt>
              </c:numCache>
            </c:numRef>
          </c:val>
          <c:smooth val="1"/>
          <c:extLst>
            <c:ext xmlns:c16="http://schemas.microsoft.com/office/drawing/2014/chart" uri="{C3380CC4-5D6E-409C-BE32-E72D297353CC}">
              <c16:uniqueId val="{00000013-928F-476F-AA97-5DF910E95796}"/>
            </c:ext>
          </c:extLst>
        </c:ser>
        <c:ser>
          <c:idx val="19"/>
          <c:order val="19"/>
          <c:tx>
            <c:strRef>
              <c:f>'Graph-Date'!$A$22</c:f>
              <c:strCache>
                <c:ptCount val="1"/>
                <c:pt idx="0">
                  <c:v>Other Designations</c:v>
                </c:pt>
              </c:strCache>
            </c:strRef>
          </c:tx>
          <c:spPr>
            <a:ln w="9525" cap="rnd">
              <a:solidFill>
                <a:schemeClr val="accent2">
                  <a:lumMod val="75000"/>
                </a:schemeClr>
              </a:solidFill>
              <a:round/>
            </a:ln>
            <a:effectLst/>
          </c:spPr>
          <c:marker>
            <c:symbol val="none"/>
          </c:marker>
          <c:val>
            <c:numRef>
              <c:f>'Graph-Date'!$B$22:$G$22</c:f>
              <c:numCache>
                <c:formatCode>General</c:formatCode>
                <c:ptCount val="6"/>
                <c:pt idx="0">
                  <c:v>1</c:v>
                </c:pt>
                <c:pt idx="1">
                  <c:v>0</c:v>
                </c:pt>
                <c:pt idx="2">
                  <c:v>4</c:v>
                </c:pt>
                <c:pt idx="3">
                  <c:v>6</c:v>
                </c:pt>
                <c:pt idx="4">
                  <c:v>0</c:v>
                </c:pt>
                <c:pt idx="5">
                  <c:v>0</c:v>
                </c:pt>
              </c:numCache>
            </c:numRef>
          </c:val>
          <c:smooth val="1"/>
          <c:extLst>
            <c:ext xmlns:c16="http://schemas.microsoft.com/office/drawing/2014/chart" uri="{C3380CC4-5D6E-409C-BE32-E72D297353CC}">
              <c16:uniqueId val="{00000014-928F-476F-AA97-5DF910E95796}"/>
            </c:ext>
          </c:extLst>
        </c:ser>
        <c:dLbls>
          <c:showLegendKey val="0"/>
          <c:showVal val="0"/>
          <c:showCatName val="0"/>
          <c:showSerName val="0"/>
          <c:showPercent val="0"/>
          <c:showBubbleSize val="0"/>
        </c:dLbls>
        <c:smooth val="0"/>
        <c:axId val="2112719136"/>
        <c:axId val="2112722464"/>
      </c:lineChart>
      <c:catAx>
        <c:axId val="2112719136"/>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r>
                  <a:rPr lang="en-GB"/>
                  <a:t>Time period</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dk1">
                <a:lumMod val="15000"/>
                <a:lumOff val="85000"/>
                <a:alpha val="54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crossAx val="2112722464"/>
        <c:crosses val="autoZero"/>
        <c:auto val="1"/>
        <c:lblAlgn val="ctr"/>
        <c:lblOffset val="100"/>
        <c:noMultiLvlLbl val="1"/>
      </c:catAx>
      <c:valAx>
        <c:axId val="2112722464"/>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r>
                  <a:rPr lang="en-GB"/>
                  <a:t>Number of established PAs in a quarter century</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dk1">
                <a:lumMod val="15000"/>
                <a:lumOff val="8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crossAx val="2112719136"/>
        <c:crosses val="autoZero"/>
        <c:crossBetween val="between"/>
      </c:valAx>
      <c:spPr>
        <a:pattFill prst="ltDnDiag">
          <a:fgClr>
            <a:schemeClr val="dk1">
              <a:lumMod val="15000"/>
              <a:lumOff val="85000"/>
            </a:schemeClr>
          </a:fgClr>
          <a:bgClr>
            <a:schemeClr val="lt1"/>
          </a:bgClr>
        </a:pattFill>
        <a:ln>
          <a:noFill/>
        </a:ln>
        <a:effectLst/>
      </c:spPr>
    </c:plotArea>
    <c:legend>
      <c:legendPos val="b"/>
      <c:layout>
        <c:manualLayout>
          <c:xMode val="edge"/>
          <c:yMode val="edge"/>
          <c:x val="4.7560855572172232E-2"/>
          <c:y val="0.77831156696518078"/>
          <c:w val="0.93761165521480383"/>
          <c:h val="0.2120125728279903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lt1"/>
    </a:solidFill>
    <a:ln w="9525" cap="flat" cmpd="sng" algn="ctr">
      <a:solidFill>
        <a:schemeClr val="tx1">
          <a:lumMod val="95000"/>
          <a:lumOff val="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813816542163001E-2"/>
          <c:y val="3.4920634920634921E-2"/>
          <c:w val="0.88568190995356355"/>
          <c:h val="0.78632870891138607"/>
        </c:manualLayout>
      </c:layout>
      <c:lineChart>
        <c:grouping val="standard"/>
        <c:varyColors val="0"/>
        <c:ser>
          <c:idx val="0"/>
          <c:order val="0"/>
          <c:tx>
            <c:strRef>
              <c:f>'Graph-Date'!$A$24</c:f>
              <c:strCache>
                <c:ptCount val="1"/>
                <c:pt idx="0">
                  <c:v>Affiliated Areas</c:v>
                </c:pt>
              </c:strCache>
            </c:strRef>
          </c:tx>
          <c:spPr>
            <a:ln w="9525" cap="rnd">
              <a:solidFill>
                <a:srgbClr val="FF99FF"/>
              </a:solidFill>
              <a:round/>
            </a:ln>
            <a:effectLst/>
          </c:spPr>
          <c:marker>
            <c:symbol val="none"/>
          </c:marker>
          <c:cat>
            <c:strRef>
              <c:f>'Graph-Date'!$B$2:$G$2</c:f>
              <c:strCache>
                <c:ptCount val="6"/>
                <c:pt idx="0">
                  <c:v>1872-1900</c:v>
                </c:pt>
                <c:pt idx="1">
                  <c:v>1901-1925</c:v>
                </c:pt>
                <c:pt idx="2">
                  <c:v>1926-1950</c:v>
                </c:pt>
                <c:pt idx="3">
                  <c:v>1951-1975</c:v>
                </c:pt>
                <c:pt idx="4">
                  <c:v>1976-2000</c:v>
                </c:pt>
                <c:pt idx="5">
                  <c:v>2001-2022</c:v>
                </c:pt>
              </c:strCache>
            </c:strRef>
          </c:cat>
          <c:val>
            <c:numRef>
              <c:f>'Graph-Date'!$B$24:$G$24</c:f>
              <c:numCache>
                <c:formatCode>General</c:formatCode>
                <c:ptCount val="6"/>
                <c:pt idx="0">
                  <c:v>0</c:v>
                </c:pt>
                <c:pt idx="1">
                  <c:v>0</c:v>
                </c:pt>
                <c:pt idx="2">
                  <c:v>3</c:v>
                </c:pt>
                <c:pt idx="3">
                  <c:v>9</c:v>
                </c:pt>
                <c:pt idx="4">
                  <c:v>12</c:v>
                </c:pt>
                <c:pt idx="5">
                  <c:v>1</c:v>
                </c:pt>
              </c:numCache>
            </c:numRef>
          </c:val>
          <c:smooth val="1"/>
          <c:extLst>
            <c:ext xmlns:c16="http://schemas.microsoft.com/office/drawing/2014/chart" uri="{C3380CC4-5D6E-409C-BE32-E72D297353CC}">
              <c16:uniqueId val="{00000000-567D-4B29-9959-73654245F40F}"/>
            </c:ext>
          </c:extLst>
        </c:ser>
        <c:ser>
          <c:idx val="1"/>
          <c:order val="1"/>
          <c:tx>
            <c:strRef>
              <c:f>'Graph-Date'!$A$25</c:f>
              <c:strCache>
                <c:ptCount val="1"/>
                <c:pt idx="0">
                  <c:v>Authorized Areas</c:v>
                </c:pt>
              </c:strCache>
            </c:strRef>
          </c:tx>
          <c:spPr>
            <a:ln w="9525" cap="rnd">
              <a:solidFill>
                <a:schemeClr val="tx1"/>
              </a:solidFill>
              <a:round/>
            </a:ln>
            <a:effectLst/>
          </c:spPr>
          <c:marker>
            <c:symbol val="none"/>
          </c:marker>
          <c:cat>
            <c:strRef>
              <c:f>'Graph-Date'!$B$2:$G$2</c:f>
              <c:strCache>
                <c:ptCount val="6"/>
                <c:pt idx="0">
                  <c:v>1872-1900</c:v>
                </c:pt>
                <c:pt idx="1">
                  <c:v>1901-1925</c:v>
                </c:pt>
                <c:pt idx="2">
                  <c:v>1926-1950</c:v>
                </c:pt>
                <c:pt idx="3">
                  <c:v>1951-1975</c:v>
                </c:pt>
                <c:pt idx="4">
                  <c:v>1976-2000</c:v>
                </c:pt>
                <c:pt idx="5">
                  <c:v>2001-2022</c:v>
                </c:pt>
              </c:strCache>
            </c:strRef>
          </c:cat>
          <c:val>
            <c:numRef>
              <c:f>'Graph-Date'!$B$25:$G$25</c:f>
              <c:numCache>
                <c:formatCode>General</c:formatCode>
                <c:ptCount val="6"/>
                <c:pt idx="0">
                  <c:v>0</c:v>
                </c:pt>
                <c:pt idx="1">
                  <c:v>0</c:v>
                </c:pt>
                <c:pt idx="2">
                  <c:v>0</c:v>
                </c:pt>
                <c:pt idx="3">
                  <c:v>1</c:v>
                </c:pt>
                <c:pt idx="4">
                  <c:v>1</c:v>
                </c:pt>
                <c:pt idx="5">
                  <c:v>4</c:v>
                </c:pt>
              </c:numCache>
            </c:numRef>
          </c:val>
          <c:smooth val="1"/>
          <c:extLst>
            <c:ext xmlns:c16="http://schemas.microsoft.com/office/drawing/2014/chart" uri="{C3380CC4-5D6E-409C-BE32-E72D297353CC}">
              <c16:uniqueId val="{00000001-567D-4B29-9959-73654245F40F}"/>
            </c:ext>
          </c:extLst>
        </c:ser>
        <c:ser>
          <c:idx val="2"/>
          <c:order val="2"/>
          <c:tx>
            <c:strRef>
              <c:f>'Graph-Date'!$A$26</c:f>
              <c:strCache>
                <c:ptCount val="1"/>
                <c:pt idx="0">
                  <c:v>Co-Managed Areas</c:v>
                </c:pt>
              </c:strCache>
            </c:strRef>
          </c:tx>
          <c:spPr>
            <a:ln w="9525" cap="rnd">
              <a:solidFill>
                <a:srgbClr val="008080"/>
              </a:solidFill>
              <a:round/>
            </a:ln>
            <a:effectLst/>
          </c:spPr>
          <c:marker>
            <c:symbol val="none"/>
          </c:marker>
          <c:cat>
            <c:strRef>
              <c:f>'Graph-Date'!$B$2:$G$2</c:f>
              <c:strCache>
                <c:ptCount val="6"/>
                <c:pt idx="0">
                  <c:v>1872-1900</c:v>
                </c:pt>
                <c:pt idx="1">
                  <c:v>1901-1925</c:v>
                </c:pt>
                <c:pt idx="2">
                  <c:v>1926-1950</c:v>
                </c:pt>
                <c:pt idx="3">
                  <c:v>1951-1975</c:v>
                </c:pt>
                <c:pt idx="4">
                  <c:v>1976-2000</c:v>
                </c:pt>
                <c:pt idx="5">
                  <c:v>2001-2022</c:v>
                </c:pt>
              </c:strCache>
            </c:strRef>
          </c:cat>
          <c:val>
            <c:numRef>
              <c:f>'Graph-Date'!$B$26:$G$26</c:f>
              <c:numCache>
                <c:formatCode>General</c:formatCode>
                <c:ptCount val="6"/>
                <c:pt idx="0">
                  <c:v>0</c:v>
                </c:pt>
                <c:pt idx="1">
                  <c:v>0</c:v>
                </c:pt>
                <c:pt idx="2">
                  <c:v>0</c:v>
                </c:pt>
                <c:pt idx="3">
                  <c:v>0</c:v>
                </c:pt>
                <c:pt idx="4">
                  <c:v>1</c:v>
                </c:pt>
                <c:pt idx="5">
                  <c:v>0</c:v>
                </c:pt>
              </c:numCache>
            </c:numRef>
          </c:val>
          <c:smooth val="1"/>
          <c:extLst>
            <c:ext xmlns:c16="http://schemas.microsoft.com/office/drawing/2014/chart" uri="{C3380CC4-5D6E-409C-BE32-E72D297353CC}">
              <c16:uniqueId val="{00000002-567D-4B29-9959-73654245F40F}"/>
            </c:ext>
          </c:extLst>
        </c:ser>
        <c:ser>
          <c:idx val="3"/>
          <c:order val="3"/>
          <c:tx>
            <c:strRef>
              <c:f>'Graph-Date'!$A$27</c:f>
              <c:strCache>
                <c:ptCount val="1"/>
                <c:pt idx="0">
                  <c:v>Commemorative Sites</c:v>
                </c:pt>
              </c:strCache>
            </c:strRef>
          </c:tx>
          <c:spPr>
            <a:ln w="9525" cap="rnd">
              <a:solidFill>
                <a:schemeClr val="accent2">
                  <a:lumMod val="75000"/>
                </a:schemeClr>
              </a:solidFill>
              <a:round/>
            </a:ln>
            <a:effectLst/>
          </c:spPr>
          <c:marker>
            <c:symbol val="none"/>
          </c:marker>
          <c:cat>
            <c:strRef>
              <c:f>'Graph-Date'!$B$2:$G$2</c:f>
              <c:strCache>
                <c:ptCount val="6"/>
                <c:pt idx="0">
                  <c:v>1872-1900</c:v>
                </c:pt>
                <c:pt idx="1">
                  <c:v>1901-1925</c:v>
                </c:pt>
                <c:pt idx="2">
                  <c:v>1926-1950</c:v>
                </c:pt>
                <c:pt idx="3">
                  <c:v>1951-1975</c:v>
                </c:pt>
                <c:pt idx="4">
                  <c:v>1976-2000</c:v>
                </c:pt>
                <c:pt idx="5">
                  <c:v>2001-2022</c:v>
                </c:pt>
              </c:strCache>
            </c:strRef>
          </c:cat>
          <c:val>
            <c:numRef>
              <c:f>'Graph-Date'!$B$27:$G$27</c:f>
              <c:numCache>
                <c:formatCode>General</c:formatCode>
                <c:ptCount val="6"/>
                <c:pt idx="0">
                  <c:v>0</c:v>
                </c:pt>
                <c:pt idx="1">
                  <c:v>0</c:v>
                </c:pt>
                <c:pt idx="2">
                  <c:v>0</c:v>
                </c:pt>
                <c:pt idx="3">
                  <c:v>0</c:v>
                </c:pt>
                <c:pt idx="4">
                  <c:v>1</c:v>
                </c:pt>
                <c:pt idx="5">
                  <c:v>2</c:v>
                </c:pt>
              </c:numCache>
            </c:numRef>
          </c:val>
          <c:smooth val="1"/>
          <c:extLst>
            <c:ext xmlns:c16="http://schemas.microsoft.com/office/drawing/2014/chart" uri="{C3380CC4-5D6E-409C-BE32-E72D297353CC}">
              <c16:uniqueId val="{00000003-567D-4B29-9959-73654245F40F}"/>
            </c:ext>
          </c:extLst>
        </c:ser>
        <c:ser>
          <c:idx val="4"/>
          <c:order val="4"/>
          <c:tx>
            <c:strRef>
              <c:f>'Graph-Date'!$A$28</c:f>
              <c:strCache>
                <c:ptCount val="1"/>
                <c:pt idx="0">
                  <c:v>National Heritage Areas</c:v>
                </c:pt>
              </c:strCache>
            </c:strRef>
          </c:tx>
          <c:spPr>
            <a:ln w="9525" cap="rnd">
              <a:solidFill>
                <a:srgbClr val="00B0F0"/>
              </a:solidFill>
              <a:round/>
            </a:ln>
            <a:effectLst/>
          </c:spPr>
          <c:marker>
            <c:symbol val="none"/>
          </c:marker>
          <c:cat>
            <c:strRef>
              <c:f>'Graph-Date'!$B$2:$G$2</c:f>
              <c:strCache>
                <c:ptCount val="6"/>
                <c:pt idx="0">
                  <c:v>1872-1900</c:v>
                </c:pt>
                <c:pt idx="1">
                  <c:v>1901-1925</c:v>
                </c:pt>
                <c:pt idx="2">
                  <c:v>1926-1950</c:v>
                </c:pt>
                <c:pt idx="3">
                  <c:v>1951-1975</c:v>
                </c:pt>
                <c:pt idx="4">
                  <c:v>1976-2000</c:v>
                </c:pt>
                <c:pt idx="5">
                  <c:v>2001-2022</c:v>
                </c:pt>
              </c:strCache>
            </c:strRef>
          </c:cat>
          <c:val>
            <c:numRef>
              <c:f>'Graph-Date'!$B$28:$G$28</c:f>
              <c:numCache>
                <c:formatCode>General</c:formatCode>
                <c:ptCount val="6"/>
                <c:pt idx="0">
                  <c:v>0</c:v>
                </c:pt>
                <c:pt idx="1">
                  <c:v>0</c:v>
                </c:pt>
                <c:pt idx="2">
                  <c:v>0</c:v>
                </c:pt>
                <c:pt idx="3">
                  <c:v>0</c:v>
                </c:pt>
                <c:pt idx="4">
                  <c:v>22</c:v>
                </c:pt>
                <c:pt idx="5">
                  <c:v>33</c:v>
                </c:pt>
              </c:numCache>
            </c:numRef>
          </c:val>
          <c:smooth val="1"/>
          <c:extLst>
            <c:ext xmlns:c16="http://schemas.microsoft.com/office/drawing/2014/chart" uri="{C3380CC4-5D6E-409C-BE32-E72D297353CC}">
              <c16:uniqueId val="{00000004-567D-4B29-9959-73654245F40F}"/>
            </c:ext>
          </c:extLst>
        </c:ser>
        <c:ser>
          <c:idx val="5"/>
          <c:order val="5"/>
          <c:tx>
            <c:strRef>
              <c:f>'Graph-Date'!$A$29</c:f>
              <c:strCache>
                <c:ptCount val="1"/>
                <c:pt idx="0">
                  <c:v>National Trails System</c:v>
                </c:pt>
              </c:strCache>
            </c:strRef>
          </c:tx>
          <c:spPr>
            <a:ln w="9525" cap="rnd">
              <a:solidFill>
                <a:srgbClr val="00B050"/>
              </a:solidFill>
              <a:round/>
            </a:ln>
            <a:effectLst/>
          </c:spPr>
          <c:marker>
            <c:symbol val="none"/>
          </c:marker>
          <c:cat>
            <c:strRef>
              <c:f>'Graph-Date'!$B$2:$G$2</c:f>
              <c:strCache>
                <c:ptCount val="6"/>
                <c:pt idx="0">
                  <c:v>1872-1900</c:v>
                </c:pt>
                <c:pt idx="1">
                  <c:v>1901-1925</c:v>
                </c:pt>
                <c:pt idx="2">
                  <c:v>1926-1950</c:v>
                </c:pt>
                <c:pt idx="3">
                  <c:v>1951-1975</c:v>
                </c:pt>
                <c:pt idx="4">
                  <c:v>1976-2000</c:v>
                </c:pt>
                <c:pt idx="5">
                  <c:v>2001-2022</c:v>
                </c:pt>
              </c:strCache>
            </c:strRef>
          </c:cat>
          <c:val>
            <c:numRef>
              <c:f>'Graph-Date'!$B$29:$G$29</c:f>
              <c:numCache>
                <c:formatCode>General</c:formatCode>
                <c:ptCount val="6"/>
                <c:pt idx="0">
                  <c:v>0</c:v>
                </c:pt>
                <c:pt idx="1">
                  <c:v>0</c:v>
                </c:pt>
                <c:pt idx="2">
                  <c:v>1</c:v>
                </c:pt>
                <c:pt idx="3">
                  <c:v>3</c:v>
                </c:pt>
                <c:pt idx="4">
                  <c:v>17</c:v>
                </c:pt>
                <c:pt idx="5">
                  <c:v>9</c:v>
                </c:pt>
              </c:numCache>
            </c:numRef>
          </c:val>
          <c:smooth val="1"/>
          <c:extLst>
            <c:ext xmlns:c16="http://schemas.microsoft.com/office/drawing/2014/chart" uri="{C3380CC4-5D6E-409C-BE32-E72D297353CC}">
              <c16:uniqueId val="{00000005-567D-4B29-9959-73654245F40F}"/>
            </c:ext>
          </c:extLst>
        </c:ser>
        <c:ser>
          <c:idx val="6"/>
          <c:order val="6"/>
          <c:tx>
            <c:strRef>
              <c:f>'Graph-Date'!$A$30</c:f>
              <c:strCache>
                <c:ptCount val="1"/>
                <c:pt idx="0">
                  <c:v>National Wild and Scenic Rivers System</c:v>
                </c:pt>
              </c:strCache>
            </c:strRef>
          </c:tx>
          <c:spPr>
            <a:ln w="9525" cap="rnd">
              <a:solidFill>
                <a:srgbClr val="FF0000"/>
              </a:solidFill>
              <a:round/>
            </a:ln>
            <a:effectLst/>
          </c:spPr>
          <c:marker>
            <c:symbol val="none"/>
          </c:marker>
          <c:cat>
            <c:strRef>
              <c:f>'Graph-Date'!$B$2:$G$2</c:f>
              <c:strCache>
                <c:ptCount val="6"/>
                <c:pt idx="0">
                  <c:v>1872-1900</c:v>
                </c:pt>
                <c:pt idx="1">
                  <c:v>1901-1925</c:v>
                </c:pt>
                <c:pt idx="2">
                  <c:v>1926-1950</c:v>
                </c:pt>
                <c:pt idx="3">
                  <c:v>1951-1975</c:v>
                </c:pt>
                <c:pt idx="4">
                  <c:v>1976-2000</c:v>
                </c:pt>
                <c:pt idx="5">
                  <c:v>2001-2022</c:v>
                </c:pt>
              </c:strCache>
            </c:strRef>
          </c:cat>
          <c:val>
            <c:numRef>
              <c:f>'Graph-Date'!$B$30:$G$30</c:f>
              <c:numCache>
                <c:formatCode>General</c:formatCode>
                <c:ptCount val="6"/>
                <c:pt idx="0">
                  <c:v>0</c:v>
                </c:pt>
                <c:pt idx="1">
                  <c:v>0</c:v>
                </c:pt>
                <c:pt idx="2">
                  <c:v>0</c:v>
                </c:pt>
                <c:pt idx="3">
                  <c:v>3</c:v>
                </c:pt>
                <c:pt idx="4">
                  <c:v>34</c:v>
                </c:pt>
                <c:pt idx="5">
                  <c:v>11</c:v>
                </c:pt>
              </c:numCache>
            </c:numRef>
          </c:val>
          <c:smooth val="1"/>
          <c:extLst>
            <c:ext xmlns:c16="http://schemas.microsoft.com/office/drawing/2014/chart" uri="{C3380CC4-5D6E-409C-BE32-E72D297353CC}">
              <c16:uniqueId val="{00000006-567D-4B29-9959-73654245F40F}"/>
            </c:ext>
          </c:extLst>
        </c:ser>
        <c:dLbls>
          <c:showLegendKey val="0"/>
          <c:showVal val="0"/>
          <c:showCatName val="0"/>
          <c:showSerName val="0"/>
          <c:showPercent val="0"/>
          <c:showBubbleSize val="0"/>
        </c:dLbls>
        <c:smooth val="0"/>
        <c:axId val="2112719136"/>
        <c:axId val="2112722464"/>
      </c:lineChart>
      <c:catAx>
        <c:axId val="2112719136"/>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r>
                  <a:rPr lang="en-GB"/>
                  <a:t>Time period</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dk1">
                <a:lumMod val="15000"/>
                <a:lumOff val="85000"/>
                <a:alpha val="54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crossAx val="2112722464"/>
        <c:crosses val="autoZero"/>
        <c:auto val="1"/>
        <c:lblAlgn val="ctr"/>
        <c:lblOffset val="100"/>
        <c:noMultiLvlLbl val="0"/>
      </c:catAx>
      <c:valAx>
        <c:axId val="2112722464"/>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r>
                  <a:rPr lang="en-GB"/>
                  <a:t>Number of established PAs in a quarter century</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dk1">
                <a:lumMod val="15000"/>
                <a:lumOff val="8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crossAx val="2112719136"/>
        <c:crosses val="autoZero"/>
        <c:crossBetween val="between"/>
      </c:valAx>
      <c:spPr>
        <a:pattFill prst="ltDnDiag">
          <a:fgClr>
            <a:schemeClr val="dk1">
              <a:lumMod val="15000"/>
              <a:lumOff val="85000"/>
            </a:schemeClr>
          </a:fgClr>
          <a:bgClr>
            <a:schemeClr val="lt1"/>
          </a:bgClr>
        </a:pattFill>
        <a:ln>
          <a:noFill/>
        </a:ln>
        <a:effectLst/>
      </c:spPr>
    </c:plotArea>
    <c:legend>
      <c:legendPos val="b"/>
      <c:layout>
        <c:manualLayout>
          <c:xMode val="edge"/>
          <c:yMode val="edge"/>
          <c:x val="4.7560855572172232E-2"/>
          <c:y val="0.88565829271341068"/>
          <c:w val="0.9425172101257292"/>
          <c:h val="0.1046659167604049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lt1"/>
    </a:solidFill>
    <a:ln w="3175" cap="flat" cmpd="sng" algn="ctr">
      <a:solidFill>
        <a:schemeClr val="tx1">
          <a:lumMod val="95000"/>
          <a:lumOff val="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0">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tx1"/>
    </cs:fontRef>
    <cs:spPr>
      <a:ln w="9525" cap="rnd">
        <a:solidFill>
          <a:schemeClr val="phClr">
            <a:alpha val="50000"/>
          </a:scheme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15000"/>
            <a:lumOff val="8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9.xml><?xml version="1.0" encoding="utf-8"?>
<cs:chartStyle xmlns:cs="http://schemas.microsoft.com/office/drawing/2012/chartStyle" xmlns:a="http://schemas.openxmlformats.org/drawingml/2006/main" id="250">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tx1"/>
    </cs:fontRef>
    <cs:spPr>
      <a:ln w="9525" cap="rnd">
        <a:solidFill>
          <a:schemeClr val="phClr">
            <a:alpha val="50000"/>
          </a:scheme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15000"/>
            <a:lumOff val="8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spPr>
      <a:ln w="9525" cap="flat" cmpd="sng" algn="ctr">
        <a:solidFill>
          <a:schemeClr val="dk1">
            <a:lumMod val="15000"/>
            <a:lumOff val="85000"/>
            <a:alpha val="54000"/>
          </a:schemeClr>
        </a:solidFill>
        <a:round/>
      </a:ln>
    </cs:spPr>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drawings/drawing1.xml><?xml version="1.0" encoding="utf-8"?>
<c:userShapes xmlns:c="http://schemas.openxmlformats.org/drawingml/2006/chart">
  <cdr:relSizeAnchor xmlns:cdr="http://schemas.openxmlformats.org/drawingml/2006/chartDrawing">
    <cdr:from>
      <cdr:x>0.55681</cdr:x>
      <cdr:y>0.07405</cdr:y>
    </cdr:from>
    <cdr:to>
      <cdr:x>0.73249</cdr:x>
      <cdr:y>0.79995</cdr:y>
    </cdr:to>
    <cdr:sp macro="" textlink="">
      <cdr:nvSpPr>
        <cdr:cNvPr id="2" name="Rectangle: Rounded Corners 1"/>
        <cdr:cNvSpPr/>
      </cdr:nvSpPr>
      <cdr:spPr>
        <a:xfrm xmlns:a="http://schemas.openxmlformats.org/drawingml/2006/main">
          <a:off x="3191372" y="420288"/>
          <a:ext cx="1006917" cy="4119907"/>
        </a:xfrm>
        <a:prstGeom xmlns:a="http://schemas.openxmlformats.org/drawingml/2006/main" prst="roundRect">
          <a:avLst/>
        </a:prstGeom>
        <a:noFill xmlns:a="http://schemas.openxmlformats.org/drawingml/2006/main"/>
        <a:ln xmlns:a="http://schemas.openxmlformats.org/drawingml/2006/main" w="19050" cap="flat" cmpd="sng" algn="ctr">
          <a:solidFill>
            <a:srgbClr val="FF00FF"/>
          </a:solidFill>
          <a:prstDash val="dash"/>
          <a:miter lim="800000"/>
        </a:ln>
        <a:effectLst xmlns:a="http://schemas.openxmlformats.org/drawingml/2006/main"/>
      </cdr:spPr>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en-GB"/>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2F0CB0-46BB-4D4B-9B08-CCD04C1EF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6008</TotalTime>
  <Pages>37</Pages>
  <Words>40567</Words>
  <Characters>231236</Characters>
  <Application>Microsoft Office Word</Application>
  <DocSecurity>0</DocSecurity>
  <Lines>1926</Lines>
  <Paragraphs>542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271261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Olivier Clement GATWAZA</dc:creator>
  <cp:keywords/>
  <dc:description/>
  <cp:lastModifiedBy>Olivier Clement GATWAZA</cp:lastModifiedBy>
  <cp:revision>58</cp:revision>
  <dcterms:created xsi:type="dcterms:W3CDTF">2023-04-25T04:00:00Z</dcterms:created>
  <dcterms:modified xsi:type="dcterms:W3CDTF">2023-05-23T04:06:00Z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8d46babd-4925-3df6-8827-4c68141ee3aa</vt:lpwstr>
  </property>
  <property fmtid="{D5CDD505-2E9C-101B-9397-08002B2CF9AE}" pid="4" name="Mendeley Citation Style_1">
    <vt:lpwstr>http://www.zotero.org/styles/harvard-cite-them-right</vt:lpwstr>
  </property>
</Properties>
</file>